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A8" w:rsidRDefault="001C1EA8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bdr w:val="none" w:sz="0" w:space="0" w:color="auto" w:frame="1"/>
        </w:rPr>
      </w:pPr>
      <w:r w:rsidRPr="001C1EA8"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bdr w:val="none" w:sz="0" w:space="0" w:color="auto" w:frame="1"/>
        </w:rPr>
        <w:t>https://legislatie.just.ro/public/DetaliiDocument/286236</w:t>
      </w:r>
    </w:p>
    <w:p w:rsidR="001C1EA8" w:rsidRDefault="001C1EA8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bdr w:val="none" w:sz="0" w:space="0" w:color="auto" w:frame="1"/>
        </w:rPr>
      </w:pPr>
    </w:p>
    <w:p w:rsidR="00BB5FCF" w:rsidRPr="00BB5FCF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5FCF"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bdr w:val="none" w:sz="0" w:space="0" w:color="auto" w:frame="1"/>
        </w:rPr>
        <w:t>ORDIN nr.</w:t>
      </w:r>
      <w:proofErr w:type="gramEnd"/>
      <w:r w:rsidRPr="00BB5FCF">
        <w:rPr>
          <w:rFonts w:ascii="Times New Roman" w:eastAsia="Times New Roman" w:hAnsi="Times New Roman" w:cs="Times New Roman"/>
          <w:b/>
          <w:bCs/>
          <w:color w:val="8B0000"/>
          <w:sz w:val="28"/>
          <w:szCs w:val="28"/>
          <w:bdr w:val="none" w:sz="0" w:space="0" w:color="auto" w:frame="1"/>
        </w:rPr>
        <w:t xml:space="preserve"> 293/123/2024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pentru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modificarea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și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completarea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 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fldChar w:fldCharType="begin"/>
      </w:r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instrText xml:space="preserve"> HYPERLINK "https://legislatie.just.ro/Public/DetaliiDocumentAfis/284914" </w:instrText>
      </w:r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fldChar w:fldCharType="separate"/>
      </w:r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Regulamentului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fldChar w:fldCharType="end"/>
      </w:r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 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privind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gestionarea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situațiilor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urgență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generate de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fenomene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meteorologice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periculoase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având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ca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efect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producerea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secetei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pedologice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aprobat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prin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 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fldChar w:fldCharType="begin"/>
      </w:r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instrText xml:space="preserve"> HYPERLINK "https://legislatie.just.ro/Public/DetaliiDocumentAfis/284913" </w:instrText>
      </w:r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fldChar w:fldCharType="separate"/>
      </w:r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Ordinul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ministrului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agriculturii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și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dezvoltării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rurale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și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al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ministrului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>afacerilor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bdr w:val="none" w:sz="0" w:space="0" w:color="auto" w:frame="1"/>
        </w:rPr>
        <w:t xml:space="preserve"> interne nr. 97/63/2020</w:t>
      </w:r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fldChar w:fldCharType="end"/>
      </w:r>
    </w:p>
    <w:tbl>
      <w:tblPr>
        <w:tblW w:w="9350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8027"/>
      </w:tblGrid>
      <w:tr w:rsidR="00BB5FCF" w:rsidRPr="00BB5FCF" w:rsidTr="00BB5F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EMITENT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</w:pPr>
            <w:r w:rsidRPr="00BB5FCF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 xml:space="preserve">  MINISTERUL AGRICULTURII ȘI DEZVOLTĂRII RURALE Nr. 293 din 18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>iulie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 xml:space="preserve"> 2024</w:t>
            </w:r>
          </w:p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FCF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>  MINISTERUL AFA</w:t>
            </w:r>
            <w:bookmarkStart w:id="0" w:name="_GoBack"/>
            <w:bookmarkEnd w:id="0"/>
            <w:r w:rsidRPr="00BB5FCF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 xml:space="preserve">CERILOR INTERNE 123 din 24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>iulie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 xml:space="preserve"> 2024</w:t>
            </w:r>
          </w:p>
        </w:tc>
      </w:tr>
    </w:tbl>
    <w:p w:rsidR="00BB5FCF" w:rsidRPr="002E4745" w:rsidRDefault="00BB5FCF" w:rsidP="00BB5FCF">
      <w:pPr>
        <w:shd w:val="clear" w:color="auto" w:fill="FFFFFF"/>
        <w:spacing w:after="0" w:line="360" w:lineRule="atLeast"/>
        <w:ind w:left="-153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Publicat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în</w:t>
      </w:r>
      <w:proofErr w:type="spellEnd"/>
      <w:proofErr w:type="gramStart"/>
      <w:r w:rsidRPr="00BB5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MONITORUL</w:t>
      </w:r>
      <w:proofErr w:type="gram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OFICIAL nr. 734 din 26 </w:t>
      </w:r>
      <w:proofErr w:type="spellStart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>iulie</w:t>
      </w:r>
      <w:proofErr w:type="spellEnd"/>
      <w:r w:rsidRPr="00BB5FCF"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2024</w:t>
      </w:r>
      <w:r w:rsidRPr="00BB5F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BB5FCF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br/>
      </w:r>
      <w:r w:rsidRPr="00BB5FCF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br/>
      </w:r>
      <w:r w:rsidRPr="00BB5FCF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br/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Având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Referatul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207.553 din 18.07.2024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Centrului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operativ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urgență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generale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politici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agricole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,ț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inând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seama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Avizul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4.964.776 din 19.07.2024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Departamentului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Urgență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Afacerilor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Interne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,în</w:t>
      </w:r>
      <w:proofErr w:type="spellEnd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temeiul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 </w:t>
      </w:r>
      <w:hyperlink r:id="rId6" w:history="1"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art.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57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alin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.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(1)</w:t>
        </w:r>
      </w:hyperlink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7" w:history="1"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(2) din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Ordonanța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de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urgență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a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Guvernului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nr. 57/2019</w:t>
        </w:r>
      </w:hyperlink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Codul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</w:t>
      </w:r>
      <w:proofErr w:type="gram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 </w:t>
      </w:r>
      <w:hyperlink r:id="rId8" w:history="1"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art.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9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alin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.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(5)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din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Hotărârea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Guvernului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nr.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30/2017</w:t>
        </w:r>
      </w:hyperlink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funcționarea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Agriculturii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Dezvoltării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Rurale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9" w:history="1"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art.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6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alin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.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(6)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din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Hotărârea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Guvernului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nr 1.186/2014</w:t>
        </w:r>
      </w:hyperlink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funcționarea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Autorității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Sistemului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Național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Antigrindină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Creștere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Precipitațiilor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 </w:t>
      </w:r>
      <w:hyperlink r:id="rId10" w:history="1"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art.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7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alin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.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(5)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din</w:t>
        </w:r>
        <w:proofErr w:type="gram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Ordonanța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de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urgență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a </w:t>
        </w:r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Guvernului</w:t>
        </w:r>
        <w:proofErr w:type="spellEnd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 nr. </w:t>
        </w:r>
        <w:proofErr w:type="gram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30/2007</w:t>
        </w:r>
      </w:hyperlink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funcționarea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Afacerilor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Interne,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"https://legislatie.just.ro/Public/DetaliiDocumentAfis/89676"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Legea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nr.</w:t>
      </w:r>
      <w:proofErr w:type="gram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15/2008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,ministrul</w:t>
      </w:r>
      <w:proofErr w:type="spellEnd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agriculturii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dezvoltării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rurale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viceprim-ministrul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afacerilor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interne, emit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5FCF" w:rsidRPr="002E4745" w:rsidRDefault="00BB5FCF" w:rsidP="00BB5FCF">
      <w:pPr>
        <w:shd w:val="clear" w:color="auto" w:fill="FFFFFF"/>
        <w:spacing w:after="0" w:line="360" w:lineRule="atLeast"/>
        <w:ind w:left="-153" w:right="-1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</w:pPr>
    </w:p>
    <w:p w:rsidR="00D80DD5" w:rsidRPr="002E4745" w:rsidRDefault="00BB5FCF" w:rsidP="00BB5FCF">
      <w:pPr>
        <w:shd w:val="clear" w:color="auto" w:fill="FFFFFF"/>
        <w:spacing w:after="0" w:line="360" w:lineRule="atLeast"/>
        <w:ind w:left="-153" w:right="-1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</w:pP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Articolul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I </w:t>
      </w:r>
    </w:p>
    <w:p w:rsidR="00BB5FCF" w:rsidRPr="002E4745" w:rsidRDefault="00BB5FCF" w:rsidP="00BB5FCF">
      <w:pPr>
        <w:shd w:val="clear" w:color="auto" w:fill="FFFFFF"/>
        <w:spacing w:after="0" w:line="360" w:lineRule="atLeast"/>
        <w:ind w:left="-153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11" w:history="1">
        <w:proofErr w:type="spellStart"/>
        <w:r w:rsidRPr="002E4745">
          <w:rPr>
            <w:rFonts w:ascii="Times New Roman" w:eastAsia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Regulamentul</w:t>
        </w:r>
        <w:proofErr w:type="spellEnd"/>
      </w:hyperlink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gestionarea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situațiilor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urgență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generate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fenomene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meteorologice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periculoase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având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efect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producerea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secetei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pedologice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"https://legislatie.just.ro/Public/DetaliiDocumentAfis/284913"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Ordinul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ministrului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agriculturii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dezvoltării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rurale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ministrului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afacerilor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interne nr. </w:t>
      </w:r>
      <w:proofErr w:type="gram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97/63/2020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Monitorul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Oficial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I, nr.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320 din 16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aprilie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2020,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completează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cum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urmează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5FCF" w:rsidRPr="002E4745" w:rsidRDefault="00BB5FCF" w:rsidP="00BB5FCF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ind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"https://legislatie.just.ro/Public/DetaliiDocumentAfis/284914"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articolul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15,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alineatul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(1)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se introduce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alineat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(1^1),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(1^1)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anul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2024,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utilizatorii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terenuri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destinație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înscriși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lastRenderedPageBreak/>
        <w:t>evidențele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Plăți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Intervenție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Agricultură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ale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căror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suprafețe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fost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calamitate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procent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peste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30%,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depun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înștiințări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scrise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unitatea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administrativ-teritorială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cărei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rază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află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terenul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format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fizic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sau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mijloace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electronice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transmitere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distanță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până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târziu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data de 1 august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înființate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toamnă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respectiv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până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târziu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data de 15 august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celelalte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.</w:t>
      </w: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2.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"https://legislatie.just.ro/Public/DetaliiDocumentAfis/284914"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articolul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18,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alineatul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(2)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se introduce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alineat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(2^1),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(2^1)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vederea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întocmirii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proceselor-verbale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comisiile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prevăzute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alin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. (2) se pot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completa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noi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comisii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din care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fac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parte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reprezentanți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desemnați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din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cadrul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administrației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publice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locale, un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reprezentant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direcției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agricultură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județene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respectiv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municipiului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București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un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reprezentant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Finanțarea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Investițiilor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Rurale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sau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un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reprezentant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Naționale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Îmbunătățiri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Funciare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caz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.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3.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"https://legislatie.just.ro/Public/DetaliiDocumentAfis/284914"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articolul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18,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alineatul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(6)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se introduce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alineat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(6^1),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(6^1)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anul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2024,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procesele-verbale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întocmesc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până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târziu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data de 15 august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înființate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toamnă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respectiv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până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târziu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data de 15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septembrie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celelalte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comunică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grija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secretariatelor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comisiilor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comitetului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local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situații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urgență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iar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semnarea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către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președintele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comitetului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local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situații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urgență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secretariatele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transmit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câte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un exemplar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membrilor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comisiilor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producătorului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.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4.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"https://legislatie.just.ro/Public/DetaliiDocumentAfis/284914"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articolul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18,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alineatul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(12)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se introduce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alineat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(13),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(13)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anul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2024,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rapoartele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sinteză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întocmesc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până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târziu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data de 2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septembrie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înființate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toamnă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respectiv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până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târziu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la data de 27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septembrie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celelalte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culturi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comunică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termen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3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zile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lucrătoare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datele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menționate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anterior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instituției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prefectului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consiliului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județean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Centrului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operativ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situații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urgență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din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cadrul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Ministerului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Agriculturii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Dezvoltării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Rurale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E0"/>
        </w:rPr>
        <w:t>.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5.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"https://legislatie.just.ro/Public/DetaliiDocumentAfis/284914"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Anexa</w:t>
      </w:r>
      <w:proofErr w:type="spellEnd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 xml:space="preserve"> nr. </w:t>
      </w:r>
      <w:proofErr w:type="gramStart"/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4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înlocuiește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 </w:t>
      </w:r>
      <w:proofErr w:type="spellStart"/>
      <w:r w:rsidRPr="002E4745">
        <w:rPr>
          <w:rFonts w:ascii="Times New Roman" w:eastAsia="Times New Roman" w:hAnsi="Times New Roman" w:cs="Times New Roman"/>
          <w:color w:val="006400"/>
          <w:sz w:val="24"/>
          <w:szCs w:val="24"/>
          <w:u w:val="single"/>
          <w:bdr w:val="none" w:sz="0" w:space="0" w:color="auto" w:frame="1"/>
        </w:rPr>
        <w:t>anexa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care face parte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integrantă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</w:pP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Articolul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II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(1)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înștiințările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utilizatorilor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terenuri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destinație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evidențele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Plăți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Intervenție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Agricultură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ale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căror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suprafețe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înființate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primăvara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2024 au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calamitate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depuse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aflate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curs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soluționare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data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vigoare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(2)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inclusiv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procesele-verbale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înființate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primăvara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2024,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anterior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vigoare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utilizatorilor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terenuri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destinație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evidențele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Plăți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Intervenție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Agricultură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depus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înștiințări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scrise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administrativ-teritorială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cărei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rază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află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terenul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</w:pP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Articolul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III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</w:pP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Monitorul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Oficial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p.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Ministrul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agriculturii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dezvoltării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rurale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,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Violeta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Mușat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,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secretar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de stat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p.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Viceprim-ministru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ministrul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afacerilor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interne,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Romeo </w:t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Simionescu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,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secretar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 xml:space="preserve"> de stat</w:t>
      </w: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pStyle w:val="ListParagraph"/>
        <w:shd w:val="clear" w:color="auto" w:fill="FFFFFF"/>
        <w:spacing w:after="0" w:line="360" w:lineRule="atLeast"/>
        <w:ind w:left="207" w:right="-1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ANEXĂ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4 la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begin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instrText xml:space="preserve"> HYPERLINK "https://legislatie.just.ro/Public/DetaliiDocumentAfis/284914" </w:instrTex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2E4745">
        <w:rPr>
          <w:rFonts w:ascii="Times New Roman" w:eastAsia="Times New Roman" w:hAnsi="Times New Roman" w:cs="Times New Roman"/>
          <w:color w:val="428BCA"/>
          <w:sz w:val="24"/>
          <w:szCs w:val="24"/>
          <w:bdr w:val="none" w:sz="0" w:space="0" w:color="auto" w:frame="1"/>
        </w:rPr>
        <w:t>regulament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fldChar w:fldCharType="end"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PROCES-VERBAL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(model)</w:t>
      </w:r>
    </w:p>
    <w:tbl>
      <w:tblPr>
        <w:tblW w:w="91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3986"/>
      </w:tblGrid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UAT ............/</w:t>
            </w:r>
            <w:proofErr w:type="spellStart"/>
            <w:proofErr w:type="gramStart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Localitatea</w:t>
            </w:r>
            <w:proofErr w:type="spellEnd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..................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Nr. ..................</w:t>
            </w:r>
            <w:proofErr w:type="gramEnd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din ..............</w:t>
            </w:r>
          </w:p>
        </w:tc>
      </w:tr>
    </w:tbl>
    <w:p w:rsidR="00BB5FCF" w:rsidRPr="002E4745" w:rsidRDefault="00BB5FCF" w:rsidP="00BB5FCF">
      <w:pPr>
        <w:shd w:val="clear" w:color="auto" w:fill="FFFFFF"/>
        <w:spacing w:after="0" w:line="360" w:lineRule="atLeast"/>
        <w:ind w:left="-153" w:right="-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prefectului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 din ....................,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unității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administrativ-teritoriale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(UAT): ................(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)...............;</w:t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agricultură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județene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..................(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)....................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din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centrului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județean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/local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Plăți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Intervenție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Agricultură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(APIA): ...........(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).........;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ai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Finanțarea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Investițiilor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Rurale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.................(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)............;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ai</w:t>
      </w:r>
      <w:proofErr w:type="spellEnd"/>
      <w:r w:rsidRPr="002E4745"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</w:rPr>
        <w:t>–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Agenției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Naționale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Îmbunătățiri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Funciare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..................(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)................,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Înștiințării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...............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din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depusă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producătorul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...........(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).............,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ID APIA nr. ................./................, s-a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deplasat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fața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locului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unde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...........(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data,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 s-au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produs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calamități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suprafețelor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producătorul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cauzate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seceta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pedologică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cum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urmează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W w:w="914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735"/>
        <w:gridCol w:w="653"/>
        <w:gridCol w:w="1347"/>
        <w:gridCol w:w="2461"/>
        <w:gridCol w:w="1541"/>
        <w:gridCol w:w="1473"/>
      </w:tblGrid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Bloc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parcelă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agricolă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Suprafața</w:t>
            </w:r>
            <w:proofErr w:type="spellEnd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declarată</w:t>
            </w:r>
            <w:proofErr w:type="spellEnd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conform </w:t>
            </w:r>
            <w:proofErr w:type="spellStart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cerere</w:t>
            </w:r>
            <w:proofErr w:type="spellEnd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plată</w:t>
            </w:r>
            <w:proofErr w:type="spellEnd"/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APIA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Suprafața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calamitată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calamitare</w:t>
            </w:r>
            <w:proofErr w:type="spellEnd"/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FCF" w:rsidRPr="00BB5FCF" w:rsidTr="00BB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B5FCF" w:rsidRPr="00BB5FCF" w:rsidRDefault="00BB5FCF" w:rsidP="00B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NOTE:</w:t>
      </w: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1.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Coloana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5 -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stabilește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măsurare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57909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2.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Coloana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6 -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calcul</w:t>
      </w:r>
      <w:proofErr w:type="spellEnd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:%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coloana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(5)/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coloana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(4) x 100</w:t>
      </w:r>
    </w:p>
    <w:p w:rsidR="00157909" w:rsidRPr="002E4745" w:rsidRDefault="00157909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57909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culturilor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data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1.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Stadiul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dezvoltare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</w:t>
      </w: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2.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Aspecte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vătămare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dăunare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 ..............................</w:t>
      </w:r>
    </w:p>
    <w:p w:rsidR="00157909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3.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Măsuri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producătorul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reducerea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limitarea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pagubelor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.................................................................................................................................................................</w:t>
      </w: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4.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Detalierea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situației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existente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momentul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constatării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referire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suprafețele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aflate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perimetrul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irigabil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respectiv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cât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suprafața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calamitată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perimetrul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irigabil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(ha): ........................................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Determinările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realizat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prezența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producătorului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împuternicite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57909" w:rsidRPr="002E4745" w:rsidRDefault="00157909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-verbal s-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4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exemplare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câte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fiecare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iar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originalul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predă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producătorului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împuternicite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5FCF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57909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Comisia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1</w:t>
      </w:r>
      <w:proofErr w:type="gramEnd"/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.........(</w:t>
      </w:r>
      <w:proofErr w:type="spellStart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</w:t>
      </w:r>
    </w:p>
    <w:p w:rsidR="00157909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2.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............(</w:t>
      </w:r>
      <w:proofErr w:type="spellStart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)..........</w:t>
      </w:r>
    </w:p>
    <w:p w:rsidR="00157909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</w:rPr>
        <w:t>3.</w:t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 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.............(</w:t>
      </w:r>
      <w:proofErr w:type="spellStart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)..............</w:t>
      </w:r>
    </w:p>
    <w:p w:rsidR="00157909" w:rsidRPr="002E4745" w:rsidRDefault="00BB5FCF" w:rsidP="00BB5FC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Producător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agricol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Împuternicit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.......................(</w:t>
      </w:r>
      <w:proofErr w:type="spellStart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instituția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).............................,</w:t>
      </w:r>
    </w:p>
    <w:p w:rsidR="00157909" w:rsidRPr="002E4745" w:rsidRDefault="00BB5FCF" w:rsidP="0015790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CNP/</w:t>
      </w:r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CUI ...................................................</w:t>
      </w:r>
      <w:proofErr w:type="gramEnd"/>
    </w:p>
    <w:p w:rsidR="00157909" w:rsidRPr="002E4745" w:rsidRDefault="00BB5FCF" w:rsidP="0015790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B5F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Președintele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Comitetului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local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situații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urgență</w:t>
      </w:r>
      <w:proofErr w:type="spellEnd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BB5F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Primar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BB5F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..................................................</w:t>
      </w:r>
      <w:r w:rsidRPr="00BB5F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proofErr w:type="gram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157909" w:rsidRPr="002E4745" w:rsidRDefault="00157909" w:rsidP="0015790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57909" w:rsidRPr="002E4745" w:rsidRDefault="00BB5FCF" w:rsidP="0015790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NOTĂ:</w:t>
      </w:r>
    </w:p>
    <w:p w:rsidR="00BB5FCF" w:rsidRPr="00BB5FCF" w:rsidRDefault="00BB5FCF" w:rsidP="0015790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-verbal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constituie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documentul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doveditor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atașează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Înștiințarea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forță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majoră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care se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prezintă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instituțiile</w:t>
      </w:r>
      <w:proofErr w:type="spellEnd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statului</w:t>
      </w:r>
      <w:proofErr w:type="spellEnd"/>
      <w:proofErr w:type="gramStart"/>
      <w:r w:rsidRPr="002E47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.-----</w:t>
      </w:r>
      <w:proofErr w:type="gramEnd"/>
    </w:p>
    <w:p w:rsidR="00B279E1" w:rsidRPr="002E4745" w:rsidRDefault="00B279E1">
      <w:pPr>
        <w:rPr>
          <w:rFonts w:ascii="Times New Roman" w:hAnsi="Times New Roman" w:cs="Times New Roman"/>
          <w:sz w:val="24"/>
          <w:szCs w:val="24"/>
        </w:rPr>
      </w:pPr>
    </w:p>
    <w:sectPr w:rsidR="00B279E1" w:rsidRPr="002E4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875"/>
    <w:multiLevelType w:val="hybridMultilevel"/>
    <w:tmpl w:val="CE82D91C"/>
    <w:lvl w:ilvl="0" w:tplc="28CEE5C8">
      <w:start w:val="1"/>
      <w:numFmt w:val="decimal"/>
      <w:lvlText w:val="%1."/>
      <w:lvlJc w:val="left"/>
      <w:pPr>
        <w:ind w:left="207" w:hanging="360"/>
      </w:pPr>
      <w:rPr>
        <w:rFonts w:ascii="Verdana" w:hAnsi="Verdana" w:hint="default"/>
        <w:b/>
        <w:color w:val="8B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CF"/>
    <w:rsid w:val="00157909"/>
    <w:rsid w:val="001C1EA8"/>
    <w:rsid w:val="002E4745"/>
    <w:rsid w:val="00B279E1"/>
    <w:rsid w:val="00BB5FCF"/>
    <w:rsid w:val="00D8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BB5FCF"/>
  </w:style>
  <w:style w:type="character" w:customStyle="1" w:styleId="shdr">
    <w:name w:val="s_hdr"/>
    <w:basedOn w:val="DefaultParagraphFont"/>
    <w:rsid w:val="00BB5FCF"/>
  </w:style>
  <w:style w:type="character" w:styleId="Hyperlink">
    <w:name w:val="Hyperlink"/>
    <w:basedOn w:val="DefaultParagraphFont"/>
    <w:uiPriority w:val="99"/>
    <w:semiHidden/>
    <w:unhideWhenUsed/>
    <w:rsid w:val="00BB5FCF"/>
    <w:rPr>
      <w:color w:val="0000FF"/>
      <w:u w:val="single"/>
    </w:rPr>
  </w:style>
  <w:style w:type="character" w:customStyle="1" w:styleId="semtttl">
    <w:name w:val="s_emt_ttl"/>
    <w:basedOn w:val="DefaultParagraphFont"/>
    <w:rsid w:val="00BB5FCF"/>
  </w:style>
  <w:style w:type="character" w:customStyle="1" w:styleId="semtbdy">
    <w:name w:val="s_emt_bdy"/>
    <w:basedOn w:val="DefaultParagraphFont"/>
    <w:rsid w:val="00BB5FCF"/>
  </w:style>
  <w:style w:type="character" w:customStyle="1" w:styleId="spubttl">
    <w:name w:val="s_pub_ttl"/>
    <w:basedOn w:val="DefaultParagraphFont"/>
    <w:rsid w:val="00BB5FCF"/>
  </w:style>
  <w:style w:type="character" w:customStyle="1" w:styleId="spubbdy">
    <w:name w:val="s_pub_bdy"/>
    <w:basedOn w:val="DefaultParagraphFont"/>
    <w:rsid w:val="00BB5FCF"/>
  </w:style>
  <w:style w:type="character" w:customStyle="1" w:styleId="spar">
    <w:name w:val="s_par"/>
    <w:basedOn w:val="DefaultParagraphFont"/>
    <w:rsid w:val="00BB5FCF"/>
  </w:style>
  <w:style w:type="character" w:customStyle="1" w:styleId="slinttl">
    <w:name w:val="s_lin_ttl"/>
    <w:basedOn w:val="DefaultParagraphFont"/>
    <w:rsid w:val="00BB5FCF"/>
  </w:style>
  <w:style w:type="character" w:customStyle="1" w:styleId="slinbdy">
    <w:name w:val="s_lin_bdy"/>
    <w:basedOn w:val="DefaultParagraphFont"/>
    <w:rsid w:val="00BB5FCF"/>
  </w:style>
  <w:style w:type="character" w:customStyle="1" w:styleId="sartttl">
    <w:name w:val="s_art_ttl"/>
    <w:basedOn w:val="DefaultParagraphFont"/>
    <w:rsid w:val="00BB5FCF"/>
  </w:style>
  <w:style w:type="character" w:customStyle="1" w:styleId="spct">
    <w:name w:val="s_pct"/>
    <w:basedOn w:val="DefaultParagraphFont"/>
    <w:rsid w:val="00BB5FCF"/>
  </w:style>
  <w:style w:type="character" w:customStyle="1" w:styleId="spctttl">
    <w:name w:val="s_pct_ttl"/>
    <w:basedOn w:val="DefaultParagraphFont"/>
    <w:rsid w:val="00BB5FCF"/>
  </w:style>
  <w:style w:type="character" w:customStyle="1" w:styleId="spctbdy">
    <w:name w:val="s_pct_bdy"/>
    <w:basedOn w:val="DefaultParagraphFont"/>
    <w:rsid w:val="00BB5FCF"/>
  </w:style>
  <w:style w:type="character" w:customStyle="1" w:styleId="saln">
    <w:name w:val="s_aln"/>
    <w:basedOn w:val="DefaultParagraphFont"/>
    <w:rsid w:val="00BB5FCF"/>
  </w:style>
  <w:style w:type="character" w:customStyle="1" w:styleId="salnttl">
    <w:name w:val="s_aln_ttl"/>
    <w:basedOn w:val="DefaultParagraphFont"/>
    <w:rsid w:val="00BB5FCF"/>
  </w:style>
  <w:style w:type="character" w:customStyle="1" w:styleId="salnbdy">
    <w:name w:val="s_aln_bdy"/>
    <w:basedOn w:val="DefaultParagraphFont"/>
    <w:rsid w:val="00BB5FCF"/>
  </w:style>
  <w:style w:type="character" w:customStyle="1" w:styleId="slgi">
    <w:name w:val="s_lgi"/>
    <w:basedOn w:val="DefaultParagraphFont"/>
    <w:rsid w:val="00BB5FCF"/>
  </w:style>
  <w:style w:type="character" w:customStyle="1" w:styleId="ssmnpar">
    <w:name w:val="s_smn_par"/>
    <w:basedOn w:val="DefaultParagraphFont"/>
    <w:rsid w:val="00BB5FCF"/>
  </w:style>
  <w:style w:type="character" w:customStyle="1" w:styleId="sanxttl">
    <w:name w:val="s_anx_ttl"/>
    <w:basedOn w:val="DefaultParagraphFont"/>
    <w:rsid w:val="00BB5FCF"/>
  </w:style>
  <w:style w:type="character" w:customStyle="1" w:styleId="sanxbdy">
    <w:name w:val="s_anx_bdy"/>
    <w:basedOn w:val="DefaultParagraphFont"/>
    <w:rsid w:val="00BB5FCF"/>
  </w:style>
  <w:style w:type="character" w:customStyle="1" w:styleId="apar">
    <w:name w:val="a_par"/>
    <w:basedOn w:val="DefaultParagraphFont"/>
    <w:rsid w:val="00BB5FCF"/>
  </w:style>
  <w:style w:type="paragraph" w:styleId="ListParagraph">
    <w:name w:val="List Paragraph"/>
    <w:basedOn w:val="Normal"/>
    <w:uiPriority w:val="34"/>
    <w:qFormat/>
    <w:rsid w:val="00BB5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BB5FCF"/>
  </w:style>
  <w:style w:type="character" w:customStyle="1" w:styleId="shdr">
    <w:name w:val="s_hdr"/>
    <w:basedOn w:val="DefaultParagraphFont"/>
    <w:rsid w:val="00BB5FCF"/>
  </w:style>
  <w:style w:type="character" w:styleId="Hyperlink">
    <w:name w:val="Hyperlink"/>
    <w:basedOn w:val="DefaultParagraphFont"/>
    <w:uiPriority w:val="99"/>
    <w:semiHidden/>
    <w:unhideWhenUsed/>
    <w:rsid w:val="00BB5FCF"/>
    <w:rPr>
      <w:color w:val="0000FF"/>
      <w:u w:val="single"/>
    </w:rPr>
  </w:style>
  <w:style w:type="character" w:customStyle="1" w:styleId="semtttl">
    <w:name w:val="s_emt_ttl"/>
    <w:basedOn w:val="DefaultParagraphFont"/>
    <w:rsid w:val="00BB5FCF"/>
  </w:style>
  <w:style w:type="character" w:customStyle="1" w:styleId="semtbdy">
    <w:name w:val="s_emt_bdy"/>
    <w:basedOn w:val="DefaultParagraphFont"/>
    <w:rsid w:val="00BB5FCF"/>
  </w:style>
  <w:style w:type="character" w:customStyle="1" w:styleId="spubttl">
    <w:name w:val="s_pub_ttl"/>
    <w:basedOn w:val="DefaultParagraphFont"/>
    <w:rsid w:val="00BB5FCF"/>
  </w:style>
  <w:style w:type="character" w:customStyle="1" w:styleId="spubbdy">
    <w:name w:val="s_pub_bdy"/>
    <w:basedOn w:val="DefaultParagraphFont"/>
    <w:rsid w:val="00BB5FCF"/>
  </w:style>
  <w:style w:type="character" w:customStyle="1" w:styleId="spar">
    <w:name w:val="s_par"/>
    <w:basedOn w:val="DefaultParagraphFont"/>
    <w:rsid w:val="00BB5FCF"/>
  </w:style>
  <w:style w:type="character" w:customStyle="1" w:styleId="slinttl">
    <w:name w:val="s_lin_ttl"/>
    <w:basedOn w:val="DefaultParagraphFont"/>
    <w:rsid w:val="00BB5FCF"/>
  </w:style>
  <w:style w:type="character" w:customStyle="1" w:styleId="slinbdy">
    <w:name w:val="s_lin_bdy"/>
    <w:basedOn w:val="DefaultParagraphFont"/>
    <w:rsid w:val="00BB5FCF"/>
  </w:style>
  <w:style w:type="character" w:customStyle="1" w:styleId="sartttl">
    <w:name w:val="s_art_ttl"/>
    <w:basedOn w:val="DefaultParagraphFont"/>
    <w:rsid w:val="00BB5FCF"/>
  </w:style>
  <w:style w:type="character" w:customStyle="1" w:styleId="spct">
    <w:name w:val="s_pct"/>
    <w:basedOn w:val="DefaultParagraphFont"/>
    <w:rsid w:val="00BB5FCF"/>
  </w:style>
  <w:style w:type="character" w:customStyle="1" w:styleId="spctttl">
    <w:name w:val="s_pct_ttl"/>
    <w:basedOn w:val="DefaultParagraphFont"/>
    <w:rsid w:val="00BB5FCF"/>
  </w:style>
  <w:style w:type="character" w:customStyle="1" w:styleId="spctbdy">
    <w:name w:val="s_pct_bdy"/>
    <w:basedOn w:val="DefaultParagraphFont"/>
    <w:rsid w:val="00BB5FCF"/>
  </w:style>
  <w:style w:type="character" w:customStyle="1" w:styleId="saln">
    <w:name w:val="s_aln"/>
    <w:basedOn w:val="DefaultParagraphFont"/>
    <w:rsid w:val="00BB5FCF"/>
  </w:style>
  <w:style w:type="character" w:customStyle="1" w:styleId="salnttl">
    <w:name w:val="s_aln_ttl"/>
    <w:basedOn w:val="DefaultParagraphFont"/>
    <w:rsid w:val="00BB5FCF"/>
  </w:style>
  <w:style w:type="character" w:customStyle="1" w:styleId="salnbdy">
    <w:name w:val="s_aln_bdy"/>
    <w:basedOn w:val="DefaultParagraphFont"/>
    <w:rsid w:val="00BB5FCF"/>
  </w:style>
  <w:style w:type="character" w:customStyle="1" w:styleId="slgi">
    <w:name w:val="s_lgi"/>
    <w:basedOn w:val="DefaultParagraphFont"/>
    <w:rsid w:val="00BB5FCF"/>
  </w:style>
  <w:style w:type="character" w:customStyle="1" w:styleId="ssmnpar">
    <w:name w:val="s_smn_par"/>
    <w:basedOn w:val="DefaultParagraphFont"/>
    <w:rsid w:val="00BB5FCF"/>
  </w:style>
  <w:style w:type="character" w:customStyle="1" w:styleId="sanxttl">
    <w:name w:val="s_anx_ttl"/>
    <w:basedOn w:val="DefaultParagraphFont"/>
    <w:rsid w:val="00BB5FCF"/>
  </w:style>
  <w:style w:type="character" w:customStyle="1" w:styleId="sanxbdy">
    <w:name w:val="s_anx_bdy"/>
    <w:basedOn w:val="DefaultParagraphFont"/>
    <w:rsid w:val="00BB5FCF"/>
  </w:style>
  <w:style w:type="character" w:customStyle="1" w:styleId="apar">
    <w:name w:val="a_par"/>
    <w:basedOn w:val="DefaultParagraphFont"/>
    <w:rsid w:val="00BB5FCF"/>
  </w:style>
  <w:style w:type="paragraph" w:styleId="ListParagraph">
    <w:name w:val="List Paragraph"/>
    <w:basedOn w:val="Normal"/>
    <w:uiPriority w:val="34"/>
    <w:qFormat/>
    <w:rsid w:val="00BB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33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860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8488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843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84343" TargetMode="External"/><Relationship Id="rId11" Type="http://schemas.openxmlformats.org/officeDocument/2006/relationships/hyperlink" Target="https://legislatie.just.ro/Public/DetaliiDocumentAfis/2849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57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199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Aura-Diana Sangeorzan</dc:creator>
  <cp:lastModifiedBy>Aura-Diana Sangeorzan</cp:lastModifiedBy>
  <cp:revision>4</cp:revision>
  <dcterms:created xsi:type="dcterms:W3CDTF">2024-08-01T08:06:00Z</dcterms:created>
  <dcterms:modified xsi:type="dcterms:W3CDTF">2024-08-01T08:21:00Z</dcterms:modified>
</cp:coreProperties>
</file>