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B0BAB" w14:textId="2521258C" w:rsidR="00CF1D65" w:rsidRPr="00DA45AE" w:rsidRDefault="006226B0" w:rsidP="007D2FF0">
      <w:pPr>
        <w:spacing w:line="240" w:lineRule="auto"/>
        <w:jc w:val="both"/>
        <w:rPr>
          <w:rFonts w:asciiTheme="majorHAnsi" w:hAnsiTheme="majorHAnsi"/>
          <w:szCs w:val="24"/>
          <w:lang w:val="ro-RO"/>
        </w:rPr>
      </w:pPr>
      <w:r w:rsidRPr="0036663C">
        <w:rPr>
          <w:rFonts w:ascii="Times New Roman CE" w:hAnsi="Times New Roman CE"/>
          <w:szCs w:val="24"/>
          <w:lang w:val="ro-RO"/>
        </w:rPr>
        <w:t xml:space="preserve">   </w:t>
      </w:r>
      <w:r w:rsidR="000B34E3" w:rsidRPr="00DA45AE">
        <w:rPr>
          <w:rFonts w:asciiTheme="majorHAnsi" w:hAnsiTheme="majorHAnsi"/>
          <w:szCs w:val="24"/>
          <w:lang w:val="ro-RO"/>
        </w:rPr>
        <w:t>Anexa</w:t>
      </w:r>
      <w:r w:rsidR="004847F4" w:rsidRPr="00DA45AE">
        <w:rPr>
          <w:rFonts w:asciiTheme="majorHAnsi" w:hAnsiTheme="majorHAnsi"/>
          <w:szCs w:val="24"/>
          <w:lang w:val="ro-RO"/>
        </w:rPr>
        <w:t xml:space="preserve"> nr.</w:t>
      </w:r>
      <w:r w:rsidR="000B34E3" w:rsidRPr="00DA45AE">
        <w:rPr>
          <w:rFonts w:asciiTheme="majorHAnsi" w:hAnsiTheme="majorHAnsi"/>
          <w:szCs w:val="24"/>
          <w:lang w:val="ro-RO"/>
        </w:rPr>
        <w:t xml:space="preserve"> </w:t>
      </w:r>
      <w:r w:rsidR="00E51F90">
        <w:rPr>
          <w:rFonts w:asciiTheme="majorHAnsi" w:hAnsiTheme="majorHAnsi"/>
          <w:szCs w:val="24"/>
          <w:lang w:val="ro-RO"/>
        </w:rPr>
        <w:t>2</w:t>
      </w:r>
      <w:bookmarkStart w:id="0" w:name="_GoBack"/>
      <w:bookmarkEnd w:id="0"/>
      <w:r w:rsidR="000B34E3" w:rsidRPr="00DA45AE">
        <w:rPr>
          <w:rFonts w:asciiTheme="majorHAnsi" w:hAnsiTheme="majorHAnsi"/>
          <w:szCs w:val="24"/>
          <w:lang w:val="ro-RO"/>
        </w:rPr>
        <w:tab/>
      </w:r>
      <w:r w:rsidR="009E69A4" w:rsidRPr="00DA45AE">
        <w:rPr>
          <w:rFonts w:asciiTheme="majorHAnsi" w:hAnsiTheme="majorHAnsi"/>
          <w:szCs w:val="24"/>
          <w:lang w:val="ro-RO"/>
        </w:rPr>
        <w:t xml:space="preserve">la HCL Satu Mare nr. </w:t>
      </w:r>
      <w:r w:rsidR="007D2FF0">
        <w:rPr>
          <w:rFonts w:asciiTheme="majorHAnsi" w:hAnsiTheme="majorHAnsi"/>
          <w:szCs w:val="24"/>
          <w:lang w:val="ro-RO"/>
        </w:rPr>
        <w:t>195/14.06.2023</w:t>
      </w:r>
    </w:p>
    <w:p w14:paraId="6C31697A" w14:textId="77777777" w:rsidR="0036663C" w:rsidRPr="0036663C" w:rsidRDefault="0036663C" w:rsidP="0036663C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70E17463" w14:textId="265747C5" w:rsidR="00DE6F6A" w:rsidRPr="0036663C" w:rsidRDefault="00DE6F6A" w:rsidP="0036663C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36663C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tehnico-economici la obiectivul de </w:t>
      </w:r>
      <w:r w:rsidR="007C2834" w:rsidRPr="0036663C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învestiții</w:t>
      </w:r>
      <w:r w:rsidRPr="0036663C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37C8A82E" w14:textId="77777777" w:rsidR="00533F6D" w:rsidRPr="0036663C" w:rsidRDefault="00533F6D" w:rsidP="0036663C">
      <w:pPr>
        <w:spacing w:after="0" w:line="240" w:lineRule="auto"/>
        <w:jc w:val="center"/>
        <w:rPr>
          <w:rFonts w:asciiTheme="majorHAnsi" w:hAnsiTheme="majorHAnsi" w:cstheme="minorHAnsi"/>
          <w:b/>
          <w:bCs/>
          <w:i/>
          <w:iCs/>
          <w:szCs w:val="24"/>
          <w:lang w:val="ro-RO"/>
        </w:rPr>
      </w:pPr>
      <w:r w:rsidRPr="0036663C">
        <w:rPr>
          <w:rFonts w:asciiTheme="majorHAnsi" w:hAnsiTheme="majorHAnsi" w:cstheme="minorHAnsi"/>
          <w:b/>
          <w:bCs/>
          <w:i/>
          <w:iCs/>
          <w:szCs w:val="24"/>
          <w:lang w:val="ro-RO"/>
        </w:rPr>
        <w:t xml:space="preserve">“Renovarea energetică a Liceului cu program sportiv” </w:t>
      </w:r>
    </w:p>
    <w:p w14:paraId="4944867F" w14:textId="77777777" w:rsidR="00217156" w:rsidRDefault="00217156" w:rsidP="002B338E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66C51BEF" w14:textId="77777777" w:rsidR="00406E25" w:rsidRPr="0036663C" w:rsidRDefault="00406E25" w:rsidP="002B338E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7BEBF8DE" w14:textId="2B26EE33" w:rsidR="00D22BA8" w:rsidRDefault="00D22BA8" w:rsidP="00406E25">
      <w:pPr>
        <w:pStyle w:val="Heading3"/>
        <w:numPr>
          <w:ilvl w:val="0"/>
          <w:numId w:val="13"/>
        </w:numPr>
        <w:spacing w:after="120"/>
        <w:ind w:left="0" w:firstLine="0"/>
        <w:rPr>
          <w:b/>
          <w:bCs/>
          <w:color w:val="000000" w:themeColor="text1"/>
          <w:lang w:val="ro-RO" w:eastAsia="ro-RO"/>
        </w:rPr>
      </w:pPr>
      <w:r w:rsidRPr="00217156">
        <w:rPr>
          <w:b/>
          <w:bCs/>
          <w:color w:val="000000" w:themeColor="text1"/>
          <w:lang w:val="ro-RO" w:eastAsia="ro-RO"/>
        </w:rPr>
        <w:t xml:space="preserve">indicatori maximali, respectiv valoarea totală a obiectului de </w:t>
      </w:r>
      <w:r w:rsidR="002912EC" w:rsidRPr="00217156">
        <w:rPr>
          <w:b/>
          <w:bCs/>
          <w:color w:val="000000" w:themeColor="text1"/>
          <w:lang w:val="ro-RO" w:eastAsia="ro-RO"/>
        </w:rPr>
        <w:t>investiții</w:t>
      </w:r>
      <w:r w:rsidRPr="00217156">
        <w:rPr>
          <w:b/>
          <w:bCs/>
          <w:color w:val="000000" w:themeColor="text1"/>
          <w:lang w:val="ro-RO" w:eastAsia="ro-RO"/>
        </w:rPr>
        <w:t xml:space="preserve">, exprimată în lei, cu TVA şi, respectiv, fără TVA, din care </w:t>
      </w:r>
      <w:r w:rsidR="002912EC" w:rsidRPr="00217156">
        <w:rPr>
          <w:b/>
          <w:bCs/>
          <w:color w:val="000000" w:themeColor="text1"/>
          <w:lang w:val="ro-RO" w:eastAsia="ro-RO"/>
        </w:rPr>
        <w:t>construcții</w:t>
      </w:r>
      <w:r w:rsidRPr="00217156">
        <w:rPr>
          <w:b/>
          <w:bCs/>
          <w:color w:val="000000" w:themeColor="text1"/>
          <w:lang w:val="ro-RO" w:eastAsia="ro-RO"/>
        </w:rPr>
        <w:t xml:space="preserve"> - montaj (C+M), în conformitate cu devizul general:</w:t>
      </w:r>
    </w:p>
    <w:p w14:paraId="26B761A6" w14:textId="77777777" w:rsidR="00D22BA8" w:rsidRPr="0036663C" w:rsidRDefault="00D22BA8" w:rsidP="00406E25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Cambria" w:hAnsi="Cambria"/>
          <w:szCs w:val="24"/>
          <w:lang w:val="ro-RO"/>
        </w:rPr>
      </w:pPr>
      <w:bookmarkStart w:id="1" w:name="_Toc515024563"/>
      <w:r w:rsidRPr="0036663C">
        <w:rPr>
          <w:rFonts w:ascii="Cambria" w:hAnsi="Cambria"/>
          <w:b/>
          <w:szCs w:val="24"/>
          <w:lang w:val="ro-RO"/>
        </w:rPr>
        <w:t>VALOAREA TOTALĂ A LUCRĂRILOR DE INTERVENȚIE</w:t>
      </w:r>
      <w:r w:rsidRPr="0036663C">
        <w:rPr>
          <w:rFonts w:ascii="Cambria" w:hAnsi="Cambria"/>
          <w:szCs w:val="24"/>
          <w:lang w:val="ro-RO"/>
        </w:rPr>
        <w:t>:</w:t>
      </w:r>
    </w:p>
    <w:p w14:paraId="6429E0AA" w14:textId="4C3F2DB3" w:rsidR="00D22BA8" w:rsidRPr="0036663C" w:rsidRDefault="00D22BA8" w:rsidP="00406E25">
      <w:pPr>
        <w:pStyle w:val="paragrafnivel2"/>
        <w:spacing w:line="276" w:lineRule="auto"/>
        <w:rPr>
          <w:szCs w:val="24"/>
        </w:rPr>
      </w:pPr>
      <w:r w:rsidRPr="0036663C">
        <w:rPr>
          <w:szCs w:val="24"/>
        </w:rPr>
        <w:t xml:space="preserve">inclusiv T.V.A. – total:   </w:t>
      </w:r>
      <w:r w:rsidR="0036663C" w:rsidRPr="0036663C">
        <w:rPr>
          <w:b/>
          <w:szCs w:val="24"/>
        </w:rPr>
        <w:t>10.145.332,33</w:t>
      </w:r>
      <w:r w:rsidRPr="0036663C">
        <w:rPr>
          <w:b/>
          <w:szCs w:val="24"/>
        </w:rPr>
        <w:t xml:space="preserve"> </w:t>
      </w:r>
      <w:r w:rsidRPr="0036663C">
        <w:rPr>
          <w:b/>
          <w:color w:val="000000" w:themeColor="text1"/>
          <w:szCs w:val="24"/>
        </w:rPr>
        <w:t>lei;</w:t>
      </w:r>
    </w:p>
    <w:p w14:paraId="359CBEE9" w14:textId="2B43C166" w:rsidR="00D22BA8" w:rsidRPr="0036663C" w:rsidRDefault="00D22BA8" w:rsidP="00406E25">
      <w:pPr>
        <w:pStyle w:val="paragrafnivel2"/>
        <w:spacing w:line="276" w:lineRule="auto"/>
        <w:rPr>
          <w:szCs w:val="24"/>
        </w:rPr>
      </w:pPr>
      <w:r w:rsidRPr="0036663C">
        <w:rPr>
          <w:szCs w:val="24"/>
        </w:rPr>
        <w:t xml:space="preserve">exclusiv T.V.A. – total:  </w:t>
      </w:r>
      <w:r w:rsidR="0036663C" w:rsidRPr="0036663C">
        <w:rPr>
          <w:b/>
          <w:szCs w:val="24"/>
        </w:rPr>
        <w:t>8.537.895,29</w:t>
      </w:r>
      <w:r w:rsidRPr="0036663C">
        <w:rPr>
          <w:b/>
          <w:szCs w:val="24"/>
        </w:rPr>
        <w:t xml:space="preserve"> </w:t>
      </w:r>
      <w:r w:rsidRPr="0036663C">
        <w:rPr>
          <w:b/>
          <w:color w:val="000000" w:themeColor="text1"/>
          <w:szCs w:val="24"/>
        </w:rPr>
        <w:t>lei;</w:t>
      </w:r>
    </w:p>
    <w:p w14:paraId="5954D2B9" w14:textId="77777777" w:rsidR="00D22BA8" w:rsidRPr="0036663C" w:rsidRDefault="00D22BA8" w:rsidP="00406E25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Cambria" w:hAnsi="Cambria"/>
          <w:szCs w:val="24"/>
          <w:lang w:val="ro-RO"/>
        </w:rPr>
      </w:pPr>
      <w:r w:rsidRPr="0036663C">
        <w:rPr>
          <w:rFonts w:ascii="Cambria" w:hAnsi="Cambria"/>
          <w:b/>
          <w:szCs w:val="24"/>
          <w:lang w:val="ro-RO"/>
        </w:rPr>
        <w:t>CONSTRUCȚII-MONTAJ</w:t>
      </w:r>
      <w:r w:rsidRPr="0036663C">
        <w:rPr>
          <w:rFonts w:ascii="Cambria" w:hAnsi="Cambria"/>
          <w:szCs w:val="24"/>
          <w:lang w:val="ro-RO"/>
        </w:rPr>
        <w:t xml:space="preserve"> (C + M):</w:t>
      </w:r>
    </w:p>
    <w:p w14:paraId="2624FA7F" w14:textId="2511FF03" w:rsidR="00D22BA8" w:rsidRPr="0036663C" w:rsidRDefault="00D22BA8" w:rsidP="00406E25">
      <w:pPr>
        <w:pStyle w:val="paragrafnivel2"/>
        <w:spacing w:line="276" w:lineRule="auto"/>
        <w:rPr>
          <w:szCs w:val="24"/>
        </w:rPr>
      </w:pPr>
      <w:r w:rsidRPr="0036663C">
        <w:rPr>
          <w:szCs w:val="24"/>
        </w:rPr>
        <w:t xml:space="preserve">inclusiv T.V.A. : </w:t>
      </w:r>
      <w:r w:rsidR="0036663C" w:rsidRPr="0036663C">
        <w:rPr>
          <w:b/>
          <w:szCs w:val="24"/>
        </w:rPr>
        <w:t>8.405.764,41</w:t>
      </w:r>
      <w:r w:rsidRPr="0036663C">
        <w:rPr>
          <w:b/>
          <w:szCs w:val="24"/>
        </w:rPr>
        <w:t xml:space="preserve"> </w:t>
      </w:r>
      <w:r w:rsidRPr="0036663C">
        <w:rPr>
          <w:b/>
          <w:color w:val="000000" w:themeColor="text1"/>
          <w:szCs w:val="24"/>
        </w:rPr>
        <w:t>lei</w:t>
      </w:r>
      <w:r w:rsidRPr="0036663C">
        <w:rPr>
          <w:color w:val="000000" w:themeColor="text1"/>
          <w:szCs w:val="24"/>
        </w:rPr>
        <w:t>;</w:t>
      </w:r>
    </w:p>
    <w:p w14:paraId="73AA9434" w14:textId="6471EC23" w:rsidR="00D22BA8" w:rsidRPr="00217156" w:rsidRDefault="00D22BA8" w:rsidP="00406E25">
      <w:pPr>
        <w:pStyle w:val="paragrafnivel2"/>
        <w:spacing w:line="276" w:lineRule="auto"/>
        <w:rPr>
          <w:szCs w:val="24"/>
        </w:rPr>
      </w:pPr>
      <w:r w:rsidRPr="0036663C">
        <w:rPr>
          <w:szCs w:val="24"/>
        </w:rPr>
        <w:t xml:space="preserve">exclusiv T.V.A. : </w:t>
      </w:r>
      <w:r w:rsidR="0036663C" w:rsidRPr="0036663C">
        <w:rPr>
          <w:b/>
          <w:szCs w:val="24"/>
        </w:rPr>
        <w:t>7.063.667,57</w:t>
      </w:r>
      <w:r w:rsidRPr="0036663C">
        <w:rPr>
          <w:rStyle w:val="CommentReference"/>
          <w:sz w:val="24"/>
          <w:szCs w:val="24"/>
        </w:rPr>
        <w:t xml:space="preserve"> </w:t>
      </w:r>
      <w:r w:rsidRPr="0036663C">
        <w:rPr>
          <w:b/>
          <w:color w:val="000000" w:themeColor="text1"/>
          <w:szCs w:val="24"/>
        </w:rPr>
        <w:t>lei.</w:t>
      </w:r>
    </w:p>
    <w:p w14:paraId="72048653" w14:textId="2B29EA92" w:rsidR="00D22BA8" w:rsidRDefault="00D22BA8" w:rsidP="008C1A22">
      <w:pPr>
        <w:pStyle w:val="Heading3"/>
        <w:numPr>
          <w:ilvl w:val="0"/>
          <w:numId w:val="13"/>
        </w:numPr>
        <w:spacing w:before="120" w:after="120"/>
        <w:ind w:left="0" w:firstLine="567"/>
        <w:jc w:val="both"/>
        <w:rPr>
          <w:b/>
          <w:bCs/>
          <w:color w:val="000000" w:themeColor="text1"/>
          <w:lang w:val="ro-RO" w:eastAsia="ro-RO"/>
        </w:rPr>
      </w:pPr>
      <w:r w:rsidRPr="00217156">
        <w:rPr>
          <w:b/>
          <w:bCs/>
          <w:color w:val="000000" w:themeColor="text1"/>
          <w:lang w:val="ro-RO" w:eastAsia="ro-RO"/>
        </w:rPr>
        <w:t xml:space="preserve">indicatori minimali, respectiv indicatori de </w:t>
      </w:r>
      <w:r w:rsidR="002912EC" w:rsidRPr="00217156">
        <w:rPr>
          <w:b/>
          <w:bCs/>
          <w:color w:val="000000" w:themeColor="text1"/>
          <w:lang w:val="ro-RO" w:eastAsia="ro-RO"/>
        </w:rPr>
        <w:t>performanță</w:t>
      </w:r>
      <w:r w:rsidRPr="00217156">
        <w:rPr>
          <w:b/>
          <w:bCs/>
          <w:color w:val="000000" w:themeColor="text1"/>
          <w:lang w:val="ro-RO" w:eastAsia="ro-RO"/>
        </w:rPr>
        <w:t xml:space="preserve"> - elemente fizice/</w:t>
      </w:r>
      <w:r w:rsidR="002912EC" w:rsidRPr="00217156">
        <w:rPr>
          <w:b/>
          <w:bCs/>
          <w:color w:val="000000" w:themeColor="text1"/>
          <w:lang w:val="ro-RO" w:eastAsia="ro-RO"/>
        </w:rPr>
        <w:t>capacități</w:t>
      </w:r>
      <w:r w:rsidRPr="00217156">
        <w:rPr>
          <w:b/>
          <w:bCs/>
          <w:color w:val="000000" w:themeColor="text1"/>
          <w:lang w:val="ro-RO" w:eastAsia="ro-RO"/>
        </w:rPr>
        <w:t xml:space="preserve"> fizice care să indice atingerea </w:t>
      </w:r>
      <w:r w:rsidR="002912EC" w:rsidRPr="00217156">
        <w:rPr>
          <w:b/>
          <w:bCs/>
          <w:color w:val="000000" w:themeColor="text1"/>
          <w:lang w:val="ro-RO" w:eastAsia="ro-RO"/>
        </w:rPr>
        <w:t>țintei</w:t>
      </w:r>
      <w:r w:rsidRPr="00217156">
        <w:rPr>
          <w:b/>
          <w:bCs/>
          <w:color w:val="000000" w:themeColor="text1"/>
          <w:lang w:val="ro-RO" w:eastAsia="ro-RO"/>
        </w:rPr>
        <w:t xml:space="preserve"> obiectivului de </w:t>
      </w:r>
      <w:r w:rsidR="002912EC" w:rsidRPr="00217156">
        <w:rPr>
          <w:b/>
          <w:bCs/>
          <w:color w:val="000000" w:themeColor="text1"/>
          <w:lang w:val="ro-RO" w:eastAsia="ro-RO"/>
        </w:rPr>
        <w:t>investiții</w:t>
      </w:r>
      <w:r w:rsidRPr="00217156">
        <w:rPr>
          <w:b/>
          <w:bCs/>
          <w:color w:val="000000" w:themeColor="text1"/>
          <w:lang w:val="ro-RO" w:eastAsia="ro-RO"/>
        </w:rPr>
        <w:t xml:space="preserve"> - şi, după caz, calitativi, în conformitate cu standardele, normativele şi reglementările tehnice în vigoare</w:t>
      </w:r>
      <w:bookmarkEnd w:id="1"/>
      <w:r w:rsidRPr="00217156">
        <w:rPr>
          <w:b/>
          <w:bCs/>
          <w:color w:val="000000" w:themeColor="text1"/>
          <w:lang w:val="ro-RO" w:eastAsia="ro-RO"/>
        </w:rPr>
        <w:t>:</w:t>
      </w:r>
    </w:p>
    <w:p w14:paraId="629E7C81" w14:textId="190143F0" w:rsidR="0036663C" w:rsidRPr="00217156" w:rsidRDefault="0036663C" w:rsidP="008C1A22">
      <w:pPr>
        <w:pStyle w:val="ListParagraph"/>
        <w:numPr>
          <w:ilvl w:val="0"/>
          <w:numId w:val="14"/>
        </w:numPr>
        <w:spacing w:after="120"/>
        <w:ind w:left="1077"/>
        <w:rPr>
          <w:rFonts w:asciiTheme="majorHAnsi" w:hAnsiTheme="majorHAnsi"/>
          <w:b/>
          <w:bCs/>
          <w:szCs w:val="24"/>
          <w:lang w:val="ro-RO" w:eastAsia="ro-RO"/>
        </w:rPr>
      </w:pPr>
      <w:r w:rsidRPr="00217156">
        <w:rPr>
          <w:rFonts w:asciiTheme="majorHAnsi" w:hAnsiTheme="majorHAnsi"/>
          <w:b/>
          <w:bCs/>
          <w:szCs w:val="24"/>
          <w:lang w:val="ro-RO" w:eastAsia="ro-RO"/>
        </w:rPr>
        <w:t>Corp C1 – clădire Școală</w:t>
      </w: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36663C" w:rsidRPr="0036663C" w14:paraId="0208E4D8" w14:textId="77777777" w:rsidTr="00217156">
        <w:trPr>
          <w:trHeight w:val="336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079811" w14:textId="77777777" w:rsidR="0036663C" w:rsidRPr="0036663C" w:rsidRDefault="0036663C" w:rsidP="008C1A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 xml:space="preserve">Indicatori de eficiență energetică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61A523" w14:textId="6877F2EB" w:rsidR="0036663C" w:rsidRPr="0036663C" w:rsidRDefault="0036663C" w:rsidP="0036663C">
            <w:pPr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Valoare la finalul implementării proiectului</w:t>
            </w:r>
          </w:p>
        </w:tc>
      </w:tr>
      <w:tr w:rsidR="0036663C" w:rsidRPr="0036663C" w14:paraId="27C9EF06" w14:textId="77777777" w:rsidTr="00217156">
        <w:trPr>
          <w:trHeight w:val="100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3FDDA1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Consumul anual specific de energie finală pentru încălzire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2634F1" w14:textId="017A37CE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73,10</w:t>
            </w:r>
          </w:p>
        </w:tc>
      </w:tr>
      <w:tr w:rsidR="0036663C" w:rsidRPr="0036663C" w14:paraId="22512392" w14:textId="77777777" w:rsidTr="00217156">
        <w:trPr>
          <w:trHeight w:val="129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E37B32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Consumul de energie primară totală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F9E19E" w14:textId="48BB951B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151,91</w:t>
            </w:r>
          </w:p>
        </w:tc>
      </w:tr>
      <w:tr w:rsidR="0036663C" w:rsidRPr="0036663C" w14:paraId="7B61A062" w14:textId="77777777" w:rsidTr="00217156">
        <w:trPr>
          <w:trHeight w:val="129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CE6238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Consumul de energie primară totală utilizând surse convenționale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9AD171" w14:textId="5F53FA49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119,97</w:t>
            </w:r>
          </w:p>
        </w:tc>
      </w:tr>
      <w:tr w:rsidR="0036663C" w:rsidRPr="0036663C" w14:paraId="7D90DECD" w14:textId="77777777" w:rsidTr="00217156">
        <w:trPr>
          <w:trHeight w:val="129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52C29D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Consumul de energie primară utilizând surse regenerabile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00FA58" w14:textId="33B5A0C8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31,93</w:t>
            </w:r>
          </w:p>
        </w:tc>
      </w:tr>
      <w:tr w:rsidR="0036663C" w:rsidRPr="0036663C" w14:paraId="594A867E" w14:textId="77777777" w:rsidTr="00217156">
        <w:trPr>
          <w:trHeight w:val="129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C060B3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Nivel anual estimat al gazelor cu efect de seră (echivalent kgCO2/ m2 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4A812E" w14:textId="59E5DF76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20,42</w:t>
            </w:r>
          </w:p>
        </w:tc>
      </w:tr>
      <w:tr w:rsidR="0036663C" w:rsidRPr="0036663C" w14:paraId="109B6461" w14:textId="77777777" w:rsidTr="00217156">
        <w:trPr>
          <w:trHeight w:val="129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16863D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Reducerea consumului anual specific de energie finală pentru încălzire (%)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288C4E" w14:textId="62BAA4A8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71,61%</w:t>
            </w:r>
          </w:p>
        </w:tc>
      </w:tr>
      <w:tr w:rsidR="0036663C" w:rsidRPr="0036663C" w14:paraId="14F8DD9E" w14:textId="77777777" w:rsidTr="00217156">
        <w:trPr>
          <w:trHeight w:val="129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66A120" w14:textId="77777777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  <w:t xml:space="preserve">Reducerea consumului de energie primară (%)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4011D4" w14:textId="2D4BA55D" w:rsidR="0036663C" w:rsidRPr="0036663C" w:rsidRDefault="0036663C" w:rsidP="00406E2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Theme="majorHAnsi" w:eastAsia="SimSun" w:hAnsiTheme="majorHAnsi" w:cs="Cambria"/>
                <w:color w:val="000000"/>
                <w:szCs w:val="24"/>
                <w:lang w:val="ro-RO" w:eastAsia="zh-CN"/>
              </w:rPr>
            </w:pPr>
            <w:r w:rsidRPr="0036663C">
              <w:rPr>
                <w:rFonts w:asciiTheme="majorHAnsi" w:eastAsia="SimSun" w:hAnsiTheme="majorHAnsi" w:cs="Cambria"/>
                <w:b/>
                <w:bCs/>
                <w:color w:val="000000"/>
                <w:szCs w:val="24"/>
                <w:lang w:val="ro-RO" w:eastAsia="zh-CN"/>
              </w:rPr>
              <w:t>61,36%</w:t>
            </w:r>
          </w:p>
        </w:tc>
      </w:tr>
    </w:tbl>
    <w:p w14:paraId="27B15AF2" w14:textId="68868CA0" w:rsidR="0036663C" w:rsidRPr="00217156" w:rsidRDefault="0036663C" w:rsidP="0036663C">
      <w:pPr>
        <w:pStyle w:val="ListParagraph"/>
        <w:numPr>
          <w:ilvl w:val="0"/>
          <w:numId w:val="14"/>
        </w:numPr>
        <w:spacing w:before="120" w:after="120"/>
        <w:ind w:left="1077"/>
        <w:contextualSpacing w:val="0"/>
        <w:rPr>
          <w:rFonts w:asciiTheme="majorHAnsi" w:hAnsiTheme="majorHAnsi"/>
          <w:b/>
          <w:bCs/>
          <w:szCs w:val="24"/>
          <w:lang w:val="ro-RO" w:eastAsia="ro-RO"/>
        </w:rPr>
      </w:pPr>
      <w:r w:rsidRPr="00217156">
        <w:rPr>
          <w:rFonts w:asciiTheme="majorHAnsi" w:hAnsiTheme="majorHAnsi"/>
          <w:b/>
          <w:bCs/>
          <w:szCs w:val="24"/>
          <w:lang w:val="ro-RO" w:eastAsia="ro-RO"/>
        </w:rPr>
        <w:t>Corp C2 – clădire Sală de sport</w:t>
      </w: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36663C" w:rsidRPr="0036663C" w14:paraId="5DA6306D" w14:textId="77777777" w:rsidTr="00217156">
        <w:trPr>
          <w:trHeight w:val="591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81E473" w14:textId="77777777" w:rsidR="0036663C" w:rsidRPr="0036663C" w:rsidRDefault="0036663C" w:rsidP="0036663C">
            <w:pPr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 xml:space="preserve">Indicatori de eficiență energetică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25CFEA" w14:textId="3CCDC256" w:rsidR="0036663C" w:rsidRPr="0036663C" w:rsidRDefault="0036663C" w:rsidP="008C1A22">
            <w:pPr>
              <w:spacing w:after="120"/>
              <w:ind w:left="-113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Valoare la finalul implementării proiectului</w:t>
            </w:r>
          </w:p>
        </w:tc>
      </w:tr>
      <w:tr w:rsidR="0036663C" w:rsidRPr="0036663C" w14:paraId="57CC7504" w14:textId="77777777" w:rsidTr="00217156">
        <w:trPr>
          <w:trHeight w:val="100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9CBF81" w14:textId="77777777" w:rsidR="0036663C" w:rsidRPr="0036663C" w:rsidRDefault="0036663C" w:rsidP="0036663C">
            <w:pPr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Consumul anual specific de energie finală pentru încălzire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6BA602" w14:textId="3CA520FA" w:rsidR="0036663C" w:rsidRPr="0036663C" w:rsidRDefault="0036663C" w:rsidP="0036663C">
            <w:pPr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91,36</w:t>
            </w:r>
          </w:p>
        </w:tc>
      </w:tr>
      <w:tr w:rsidR="0036663C" w:rsidRPr="0036663C" w14:paraId="3B89ABA6" w14:textId="77777777" w:rsidTr="00217156">
        <w:trPr>
          <w:trHeight w:val="134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B1EF92" w14:textId="77777777" w:rsidR="0036663C" w:rsidRPr="0036663C" w:rsidRDefault="0036663C" w:rsidP="008C1A22">
            <w:pPr>
              <w:spacing w:before="120" w:after="120" w:line="240" w:lineRule="auto"/>
              <w:contextualSpacing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lastRenderedPageBreak/>
              <w:t xml:space="preserve">Consumul de energie primară totală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409B11" w14:textId="25EEF874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186,24</w:t>
            </w:r>
          </w:p>
        </w:tc>
      </w:tr>
      <w:tr w:rsidR="0036663C" w:rsidRPr="0036663C" w14:paraId="5B51BB55" w14:textId="77777777" w:rsidTr="00217156">
        <w:trPr>
          <w:trHeight w:val="138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8ADC4B" w14:textId="77777777" w:rsidR="0036663C" w:rsidRPr="0036663C" w:rsidRDefault="0036663C" w:rsidP="008C1A22">
            <w:pPr>
              <w:spacing w:before="120" w:after="120" w:line="240" w:lineRule="auto"/>
              <w:contextualSpacing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Consumul de energie primară totală utilizând surse convenționale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31ECAF" w14:textId="5BBE479D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142,06</w:t>
            </w:r>
          </w:p>
        </w:tc>
      </w:tr>
      <w:tr w:rsidR="0036663C" w:rsidRPr="0036663C" w14:paraId="014B2255" w14:textId="77777777" w:rsidTr="00217156">
        <w:trPr>
          <w:trHeight w:val="134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8C89D6" w14:textId="77777777" w:rsidR="0036663C" w:rsidRPr="0036663C" w:rsidRDefault="0036663C" w:rsidP="008C1A22">
            <w:pPr>
              <w:spacing w:before="120" w:after="120" w:line="240" w:lineRule="auto"/>
              <w:contextualSpacing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Consumul de energie primară utilizând surse regenerabile (kWh/m2.an)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90CE67" w14:textId="2DCE4B32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44,17</w:t>
            </w:r>
          </w:p>
        </w:tc>
      </w:tr>
      <w:tr w:rsidR="0036663C" w:rsidRPr="0036663C" w14:paraId="6FAF4BAA" w14:textId="77777777" w:rsidTr="00217156">
        <w:trPr>
          <w:trHeight w:val="138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70D359" w14:textId="77777777" w:rsidR="0036663C" w:rsidRPr="0036663C" w:rsidRDefault="0036663C" w:rsidP="008C1A22">
            <w:pPr>
              <w:spacing w:before="120" w:after="120" w:line="240" w:lineRule="auto"/>
              <w:contextualSpacing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Nivel anual estimat al gazelor cu efect de seră (echivalent kgCO2/ m2 an)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68C737" w14:textId="5E278BFD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24,36</w:t>
            </w:r>
          </w:p>
        </w:tc>
      </w:tr>
      <w:tr w:rsidR="0036663C" w:rsidRPr="0036663C" w14:paraId="59CA4AEB" w14:textId="77777777" w:rsidTr="00217156">
        <w:trPr>
          <w:trHeight w:val="134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F6ABEC" w14:textId="77777777" w:rsidR="0036663C" w:rsidRPr="0036663C" w:rsidRDefault="0036663C" w:rsidP="008C1A22">
            <w:pPr>
              <w:spacing w:before="120" w:after="120" w:line="240" w:lineRule="auto"/>
              <w:contextualSpacing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Reducerea consumului anual specific de energie finală pentru încălzire (%)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2E5D9E" w14:textId="2E32460C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77,79%</w:t>
            </w:r>
          </w:p>
        </w:tc>
      </w:tr>
      <w:tr w:rsidR="0036663C" w:rsidRPr="0036663C" w14:paraId="39ED3665" w14:textId="77777777" w:rsidTr="00217156">
        <w:trPr>
          <w:trHeight w:val="134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A8EF04" w14:textId="77777777" w:rsidR="0036663C" w:rsidRPr="0036663C" w:rsidRDefault="0036663C" w:rsidP="008C1A22">
            <w:pPr>
              <w:spacing w:after="0" w:line="240" w:lineRule="auto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Reducerea consumului de energie primară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E63788" w14:textId="59B60BBB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70,69%</w:t>
            </w:r>
          </w:p>
        </w:tc>
      </w:tr>
      <w:tr w:rsidR="0036663C" w:rsidRPr="0036663C" w14:paraId="7AB6233C" w14:textId="77777777" w:rsidTr="00217156">
        <w:trPr>
          <w:trHeight w:val="138"/>
        </w:trPr>
        <w:tc>
          <w:tcPr>
            <w:tcW w:w="677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4CA04C" w14:textId="77777777" w:rsidR="0036663C" w:rsidRPr="0036663C" w:rsidRDefault="0036663C" w:rsidP="008C1A22">
            <w:pPr>
              <w:spacing w:after="0" w:line="240" w:lineRule="auto"/>
              <w:contextualSpacing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szCs w:val="24"/>
                <w:lang w:val="ro-RO" w:eastAsia="ro-RO"/>
              </w:rPr>
              <w:t xml:space="preserve">Reducerea emisiilor de CO2 </w:t>
            </w:r>
          </w:p>
        </w:tc>
        <w:tc>
          <w:tcPr>
            <w:tcW w:w="3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AE7B20" w14:textId="37ECE8D0" w:rsidR="0036663C" w:rsidRPr="0036663C" w:rsidRDefault="0036663C" w:rsidP="008C1A22">
            <w:pPr>
              <w:spacing w:before="120" w:after="120" w:line="240" w:lineRule="auto"/>
              <w:jc w:val="center"/>
              <w:rPr>
                <w:rFonts w:asciiTheme="majorHAnsi" w:hAnsiTheme="majorHAnsi"/>
                <w:szCs w:val="24"/>
                <w:lang w:val="ro-RO" w:eastAsia="ro-RO"/>
              </w:rPr>
            </w:pPr>
            <w:r w:rsidRPr="0036663C">
              <w:rPr>
                <w:rFonts w:asciiTheme="majorHAnsi" w:hAnsiTheme="majorHAnsi"/>
                <w:b/>
                <w:bCs/>
                <w:szCs w:val="24"/>
                <w:lang w:val="ro-RO" w:eastAsia="ro-RO"/>
              </w:rPr>
              <w:t>76,89%</w:t>
            </w:r>
          </w:p>
        </w:tc>
      </w:tr>
    </w:tbl>
    <w:p w14:paraId="27FC656B" w14:textId="72A340AD" w:rsidR="00D22BA8" w:rsidRPr="00217156" w:rsidRDefault="00D22BA8" w:rsidP="00217156">
      <w:pPr>
        <w:pStyle w:val="Heading3"/>
        <w:spacing w:before="120" w:after="120"/>
        <w:jc w:val="both"/>
        <w:rPr>
          <w:b/>
          <w:bCs/>
          <w:color w:val="000000" w:themeColor="text1"/>
          <w:lang w:val="ro-RO" w:eastAsia="ro-RO"/>
        </w:rPr>
      </w:pPr>
      <w:bookmarkStart w:id="2" w:name="_Toc515024564"/>
      <w:r w:rsidRPr="00217156">
        <w:rPr>
          <w:b/>
          <w:bCs/>
          <w:color w:val="000000" w:themeColor="text1"/>
          <w:lang w:val="ro-RO" w:eastAsia="ro-RO"/>
        </w:rPr>
        <w:t xml:space="preserve">C. indicatori financiari, socioeconomici, de impact, de rezultat/operare, </w:t>
      </w:r>
      <w:r w:rsidR="002912EC" w:rsidRPr="00217156">
        <w:rPr>
          <w:b/>
          <w:bCs/>
          <w:color w:val="000000" w:themeColor="text1"/>
          <w:lang w:val="ro-RO" w:eastAsia="ro-RO"/>
        </w:rPr>
        <w:t>stabiliți</w:t>
      </w:r>
      <w:r w:rsidRPr="00217156">
        <w:rPr>
          <w:b/>
          <w:bCs/>
          <w:color w:val="000000" w:themeColor="text1"/>
          <w:lang w:val="ro-RO" w:eastAsia="ro-RO"/>
        </w:rPr>
        <w:t xml:space="preserve"> în </w:t>
      </w:r>
      <w:r w:rsidR="002912EC" w:rsidRPr="00217156">
        <w:rPr>
          <w:b/>
          <w:bCs/>
          <w:color w:val="000000" w:themeColor="text1"/>
          <w:lang w:val="ro-RO" w:eastAsia="ro-RO"/>
        </w:rPr>
        <w:t>funcție</w:t>
      </w:r>
      <w:r w:rsidRPr="00217156">
        <w:rPr>
          <w:b/>
          <w:bCs/>
          <w:color w:val="000000" w:themeColor="text1"/>
          <w:lang w:val="ro-RO" w:eastAsia="ro-RO"/>
        </w:rPr>
        <w:t xml:space="preserve"> de specificul şi </w:t>
      </w:r>
      <w:r w:rsidR="002912EC" w:rsidRPr="00217156">
        <w:rPr>
          <w:b/>
          <w:bCs/>
          <w:color w:val="000000" w:themeColor="text1"/>
          <w:lang w:val="ro-RO" w:eastAsia="ro-RO"/>
        </w:rPr>
        <w:t>ținta</w:t>
      </w:r>
      <w:r w:rsidRPr="00217156">
        <w:rPr>
          <w:b/>
          <w:bCs/>
          <w:color w:val="000000" w:themeColor="text1"/>
          <w:lang w:val="ro-RO" w:eastAsia="ro-RO"/>
        </w:rPr>
        <w:t xml:space="preserve"> fiecărui obiectiv de </w:t>
      </w:r>
      <w:bookmarkEnd w:id="2"/>
      <w:r w:rsidR="002912EC" w:rsidRPr="00217156">
        <w:rPr>
          <w:b/>
          <w:bCs/>
          <w:color w:val="000000" w:themeColor="text1"/>
          <w:lang w:val="ro-RO" w:eastAsia="ro-RO"/>
        </w:rPr>
        <w:t>învestiții</w:t>
      </w:r>
    </w:p>
    <w:p w14:paraId="3A6D282D" w14:textId="30CB823F" w:rsidR="0036663C" w:rsidRPr="00217156" w:rsidRDefault="0036663C" w:rsidP="0036663C">
      <w:pPr>
        <w:pStyle w:val="ListParagraph"/>
        <w:numPr>
          <w:ilvl w:val="0"/>
          <w:numId w:val="15"/>
        </w:numPr>
        <w:rPr>
          <w:b/>
          <w:bCs/>
          <w:u w:val="single"/>
          <w:lang w:val="ro-RO" w:eastAsia="ro-RO"/>
        </w:rPr>
      </w:pPr>
      <w:bookmarkStart w:id="3" w:name="_Toc515024565"/>
      <w:r w:rsidRPr="00217156">
        <w:rPr>
          <w:b/>
          <w:bCs/>
          <w:u w:val="single"/>
          <w:lang w:val="ro-RO" w:eastAsia="ro-RO"/>
        </w:rPr>
        <w:t>Corp C1 – clădire școală</w:t>
      </w:r>
    </w:p>
    <w:p w14:paraId="7DEE432B" w14:textId="6CF1E5F6" w:rsidR="0036663C" w:rsidRPr="0036663C" w:rsidRDefault="0036663C" w:rsidP="00406E25">
      <w:pPr>
        <w:spacing w:after="120"/>
        <w:rPr>
          <w:lang w:val="ro-RO" w:eastAsia="ro-RO"/>
        </w:rPr>
      </w:pPr>
      <w:r w:rsidRPr="0036663C">
        <w:rPr>
          <w:lang w:val="ro-RO" w:eastAsia="ro-RO"/>
        </w:rPr>
        <w:t>Numărul stațiilor de încărcare pentru vehiculele electrice: 1 bucată.</w:t>
      </w:r>
    </w:p>
    <w:p w14:paraId="3893BEEF" w14:textId="77777777" w:rsidR="0036663C" w:rsidRPr="0036663C" w:rsidRDefault="0036663C" w:rsidP="00406E25">
      <w:pPr>
        <w:spacing w:after="120"/>
        <w:ind w:firstLine="567"/>
        <w:rPr>
          <w:lang w:val="ro-RO" w:eastAsia="ro-RO"/>
        </w:rPr>
      </w:pPr>
      <w:r w:rsidRPr="0036663C">
        <w:rPr>
          <w:lang w:val="ro-RO" w:eastAsia="ro-RO"/>
        </w:rPr>
        <w:t>• Economia anuală de energie:</w:t>
      </w:r>
    </w:p>
    <w:p w14:paraId="1710A979" w14:textId="5C203ED3" w:rsidR="0036663C" w:rsidRPr="0036663C" w:rsidRDefault="0036663C" w:rsidP="00406E25">
      <w:pPr>
        <w:pStyle w:val="ListParagraph"/>
        <w:numPr>
          <w:ilvl w:val="0"/>
          <w:numId w:val="16"/>
        </w:numPr>
        <w:ind w:left="0" w:firstLine="1134"/>
        <w:rPr>
          <w:b/>
          <w:bCs/>
          <w:lang w:val="ro-RO" w:eastAsia="ro-RO"/>
        </w:rPr>
      </w:pPr>
      <w:r w:rsidRPr="0036663C">
        <w:rPr>
          <w:b/>
          <w:bCs/>
          <w:lang w:val="ro-RO" w:eastAsia="ro-RO"/>
        </w:rPr>
        <w:t>315.919 kWh/an;</w:t>
      </w:r>
    </w:p>
    <w:p w14:paraId="233CBD89" w14:textId="3BB2FB03" w:rsidR="0036663C" w:rsidRPr="0036663C" w:rsidRDefault="0036663C" w:rsidP="00406E25">
      <w:pPr>
        <w:pStyle w:val="ListParagraph"/>
        <w:numPr>
          <w:ilvl w:val="0"/>
          <w:numId w:val="16"/>
        </w:numPr>
        <w:ind w:left="0" w:firstLine="1134"/>
        <w:rPr>
          <w:b/>
          <w:bCs/>
          <w:lang w:val="ro-RO" w:eastAsia="ro-RO"/>
        </w:rPr>
      </w:pPr>
      <w:r w:rsidRPr="0036663C">
        <w:rPr>
          <w:b/>
          <w:bCs/>
          <w:lang w:val="ro-RO" w:eastAsia="ro-RO"/>
        </w:rPr>
        <w:t>25,87 tep.</w:t>
      </w:r>
    </w:p>
    <w:p w14:paraId="0AEE50E6" w14:textId="4CBBE1AC" w:rsidR="0036663C" w:rsidRPr="00217156" w:rsidRDefault="00217156" w:rsidP="00406E25">
      <w:pPr>
        <w:pStyle w:val="Heading3"/>
        <w:numPr>
          <w:ilvl w:val="0"/>
          <w:numId w:val="15"/>
        </w:numPr>
        <w:jc w:val="both"/>
        <w:rPr>
          <w:b/>
          <w:bCs/>
          <w:color w:val="000000" w:themeColor="text1"/>
          <w:u w:val="single"/>
          <w:lang w:val="ro-RO" w:eastAsia="ro-RO"/>
        </w:rPr>
      </w:pPr>
      <w:r w:rsidRPr="00217156">
        <w:rPr>
          <w:b/>
          <w:bCs/>
          <w:color w:val="000000" w:themeColor="text1"/>
          <w:u w:val="single"/>
          <w:lang w:val="ro-RO" w:eastAsia="ro-RO"/>
        </w:rPr>
        <w:t>Corp C2 – clădire sală de sport.</w:t>
      </w:r>
    </w:p>
    <w:p w14:paraId="6AC768EC" w14:textId="77777777" w:rsidR="00217156" w:rsidRPr="00217156" w:rsidRDefault="00217156" w:rsidP="00406E25">
      <w:pPr>
        <w:spacing w:before="120" w:after="120"/>
        <w:rPr>
          <w:lang w:val="ro-RO" w:eastAsia="ro-RO"/>
        </w:rPr>
      </w:pPr>
      <w:r w:rsidRPr="00217156">
        <w:rPr>
          <w:lang w:val="ro-RO" w:eastAsia="ro-RO"/>
        </w:rPr>
        <w:t>Numărul stațiilor de încărcare pentru vehiculele electrice: 1 bucăți.</w:t>
      </w:r>
    </w:p>
    <w:p w14:paraId="7F112170" w14:textId="77777777" w:rsidR="00217156" w:rsidRPr="00217156" w:rsidRDefault="00217156" w:rsidP="00406E25">
      <w:pPr>
        <w:spacing w:after="120"/>
        <w:rPr>
          <w:lang w:val="ro-RO" w:eastAsia="ro-RO"/>
        </w:rPr>
      </w:pPr>
      <w:r w:rsidRPr="00217156">
        <w:rPr>
          <w:lang w:val="ro-RO" w:eastAsia="ro-RO"/>
        </w:rPr>
        <w:t>• Economia anuală de energie:</w:t>
      </w:r>
    </w:p>
    <w:p w14:paraId="4F3CC1B1" w14:textId="7D607A24" w:rsidR="00217156" w:rsidRPr="00217156" w:rsidRDefault="00217156" w:rsidP="00406E25">
      <w:pPr>
        <w:pStyle w:val="ListParagraph"/>
        <w:numPr>
          <w:ilvl w:val="0"/>
          <w:numId w:val="17"/>
        </w:numPr>
        <w:ind w:left="0" w:firstLine="1134"/>
        <w:rPr>
          <w:b/>
          <w:bCs/>
          <w:lang w:val="ro-RO" w:eastAsia="ro-RO"/>
        </w:rPr>
      </w:pPr>
      <w:r w:rsidRPr="00217156">
        <w:rPr>
          <w:b/>
          <w:bCs/>
          <w:lang w:val="ro-RO" w:eastAsia="ro-RO"/>
        </w:rPr>
        <w:t>448.802 kWh/an;</w:t>
      </w:r>
    </w:p>
    <w:p w14:paraId="295EAA3E" w14:textId="2642452E" w:rsidR="00217156" w:rsidRPr="00217156" w:rsidRDefault="00217156" w:rsidP="00406E25">
      <w:pPr>
        <w:pStyle w:val="ListParagraph"/>
        <w:numPr>
          <w:ilvl w:val="0"/>
          <w:numId w:val="17"/>
        </w:numPr>
        <w:ind w:left="0" w:firstLine="1134"/>
        <w:rPr>
          <w:b/>
          <w:bCs/>
          <w:lang w:val="ro-RO" w:eastAsia="ro-RO"/>
        </w:rPr>
      </w:pPr>
      <w:r w:rsidRPr="00217156">
        <w:rPr>
          <w:b/>
          <w:bCs/>
          <w:lang w:val="ro-RO" w:eastAsia="ro-RO"/>
        </w:rPr>
        <w:t>36,76 tep.</w:t>
      </w:r>
    </w:p>
    <w:p w14:paraId="11BC162D" w14:textId="1BFD6C71" w:rsidR="00D22BA8" w:rsidRPr="00217156" w:rsidRDefault="00D22BA8" w:rsidP="00406E25">
      <w:pPr>
        <w:pStyle w:val="Heading3"/>
        <w:spacing w:before="120" w:after="120"/>
        <w:jc w:val="both"/>
        <w:rPr>
          <w:b/>
          <w:bCs/>
          <w:color w:val="000000" w:themeColor="text1"/>
          <w:lang w:val="ro-RO" w:eastAsia="ro-RO"/>
        </w:rPr>
      </w:pPr>
      <w:r w:rsidRPr="00217156">
        <w:rPr>
          <w:b/>
          <w:bCs/>
          <w:color w:val="000000" w:themeColor="text1"/>
          <w:lang w:val="ro-RO" w:eastAsia="ro-RO"/>
        </w:rPr>
        <w:t xml:space="preserve">D. durata estimată de </w:t>
      </w:r>
      <w:r w:rsidR="002912EC" w:rsidRPr="00217156">
        <w:rPr>
          <w:b/>
          <w:bCs/>
          <w:color w:val="000000" w:themeColor="text1"/>
          <w:lang w:val="ro-RO" w:eastAsia="ro-RO"/>
        </w:rPr>
        <w:t>execuție</w:t>
      </w:r>
      <w:r w:rsidRPr="00217156">
        <w:rPr>
          <w:b/>
          <w:bCs/>
          <w:color w:val="000000" w:themeColor="text1"/>
          <w:lang w:val="ro-RO" w:eastAsia="ro-RO"/>
        </w:rPr>
        <w:t xml:space="preserve"> a obiectivului de </w:t>
      </w:r>
      <w:r w:rsidR="002912EC" w:rsidRPr="00217156">
        <w:rPr>
          <w:b/>
          <w:bCs/>
          <w:color w:val="000000" w:themeColor="text1"/>
          <w:lang w:val="ro-RO" w:eastAsia="ro-RO"/>
        </w:rPr>
        <w:t>învestiții</w:t>
      </w:r>
      <w:r w:rsidRPr="00217156">
        <w:rPr>
          <w:b/>
          <w:bCs/>
          <w:color w:val="000000" w:themeColor="text1"/>
          <w:lang w:val="ro-RO" w:eastAsia="ro-RO"/>
        </w:rPr>
        <w:t>, exprimată în luni</w:t>
      </w:r>
      <w:bookmarkEnd w:id="3"/>
      <w:r w:rsidR="00217156" w:rsidRPr="00217156">
        <w:rPr>
          <w:b/>
          <w:bCs/>
          <w:color w:val="000000" w:themeColor="text1"/>
          <w:lang w:val="ro-RO" w:eastAsia="ro-RO"/>
        </w:rPr>
        <w:t>:</w:t>
      </w:r>
    </w:p>
    <w:p w14:paraId="77AB785D" w14:textId="2E6262AC" w:rsidR="00D22BA8" w:rsidRDefault="00D22BA8" w:rsidP="00406E25">
      <w:pPr>
        <w:pStyle w:val="ListParagraph"/>
        <w:numPr>
          <w:ilvl w:val="0"/>
          <w:numId w:val="9"/>
        </w:numPr>
        <w:spacing w:before="120" w:after="120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36663C">
        <w:rPr>
          <w:rFonts w:ascii="Cambria" w:hAnsi="Cambria"/>
          <w:color w:val="000000" w:themeColor="text1"/>
          <w:szCs w:val="24"/>
          <w:lang w:val="ro-RO"/>
        </w:rPr>
        <w:t>Durata de execuție a lucrărilor de intervenție</w:t>
      </w:r>
      <w:r w:rsidR="00217156">
        <w:rPr>
          <w:rFonts w:ascii="Cambria" w:hAnsi="Cambria"/>
          <w:color w:val="000000" w:themeColor="text1"/>
          <w:szCs w:val="24"/>
          <w:lang w:val="ro-RO"/>
        </w:rPr>
        <w:t xml:space="preserve"> pentru corpul C1 – clădire școală</w:t>
      </w:r>
      <w:r w:rsidRPr="0036663C">
        <w:rPr>
          <w:rFonts w:ascii="Cambria" w:hAnsi="Cambria"/>
          <w:color w:val="000000" w:themeColor="text1"/>
          <w:szCs w:val="24"/>
          <w:lang w:val="ro-RO"/>
        </w:rPr>
        <w:t xml:space="preserve"> este de: </w:t>
      </w:r>
      <w:r w:rsidRPr="0036663C">
        <w:rPr>
          <w:rFonts w:ascii="Cambria" w:hAnsi="Cambria"/>
          <w:b/>
          <w:color w:val="000000" w:themeColor="text1"/>
          <w:szCs w:val="24"/>
          <w:lang w:val="ro-RO"/>
        </w:rPr>
        <w:t>12</w:t>
      </w:r>
      <w:r w:rsidRPr="0036663C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2F69F913" w14:textId="3B1375CE" w:rsidR="00217156" w:rsidRPr="00217156" w:rsidRDefault="00217156" w:rsidP="00217156">
      <w:pPr>
        <w:pStyle w:val="ListParagraph"/>
        <w:numPr>
          <w:ilvl w:val="0"/>
          <w:numId w:val="9"/>
        </w:numPr>
        <w:ind w:left="0" w:firstLine="567"/>
        <w:rPr>
          <w:rFonts w:ascii="Cambria" w:hAnsi="Cambria"/>
          <w:color w:val="000000" w:themeColor="text1"/>
          <w:szCs w:val="24"/>
          <w:lang w:val="ro-RO"/>
        </w:rPr>
      </w:pPr>
      <w:r w:rsidRPr="00217156">
        <w:rPr>
          <w:rFonts w:ascii="Cambria" w:hAnsi="Cambria"/>
          <w:color w:val="000000" w:themeColor="text1"/>
          <w:szCs w:val="24"/>
          <w:lang w:val="ro-RO"/>
        </w:rPr>
        <w:t>Durata de execuție a lucrărilor de intervenție pentru corpul C</w:t>
      </w:r>
      <w:r>
        <w:rPr>
          <w:rFonts w:ascii="Cambria" w:hAnsi="Cambria"/>
          <w:color w:val="000000" w:themeColor="text1"/>
          <w:szCs w:val="24"/>
          <w:lang w:val="ro-RO"/>
        </w:rPr>
        <w:t>2</w:t>
      </w:r>
      <w:r w:rsidRPr="00217156">
        <w:rPr>
          <w:rFonts w:ascii="Cambria" w:hAnsi="Cambria"/>
          <w:color w:val="000000" w:themeColor="text1"/>
          <w:szCs w:val="24"/>
          <w:lang w:val="ro-RO"/>
        </w:rPr>
        <w:t xml:space="preserve"> – clădire </w:t>
      </w:r>
      <w:r>
        <w:rPr>
          <w:rFonts w:ascii="Cambria" w:hAnsi="Cambria"/>
          <w:color w:val="000000" w:themeColor="text1"/>
          <w:szCs w:val="24"/>
          <w:lang w:val="ro-RO"/>
        </w:rPr>
        <w:t xml:space="preserve">sală de sport </w:t>
      </w:r>
      <w:r w:rsidRPr="00217156">
        <w:rPr>
          <w:rFonts w:ascii="Cambria" w:hAnsi="Cambria"/>
          <w:color w:val="000000" w:themeColor="text1"/>
          <w:szCs w:val="24"/>
          <w:lang w:val="ro-RO"/>
        </w:rPr>
        <w:t xml:space="preserve"> este de: </w:t>
      </w:r>
      <w:r w:rsidRPr="00217156">
        <w:rPr>
          <w:rFonts w:ascii="Cambria" w:hAnsi="Cambria"/>
          <w:b/>
          <w:color w:val="000000" w:themeColor="text1"/>
          <w:szCs w:val="24"/>
          <w:lang w:val="ro-RO"/>
        </w:rPr>
        <w:t>12</w:t>
      </w:r>
      <w:r w:rsidRPr="00217156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4812038D" w14:textId="77777777" w:rsidR="00250050" w:rsidRPr="0036663C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50050" w:rsidRPr="0036663C" w14:paraId="0657D91F" w14:textId="77777777" w:rsidTr="00476965">
        <w:tc>
          <w:tcPr>
            <w:tcW w:w="3080" w:type="dxa"/>
            <w:shd w:val="clear" w:color="auto" w:fill="auto"/>
          </w:tcPr>
          <w:p w14:paraId="5C4350AF" w14:textId="77777777" w:rsidR="00250050" w:rsidRPr="0036663C" w:rsidRDefault="00250050" w:rsidP="00476965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36663C">
              <w:rPr>
                <w:szCs w:val="24"/>
                <w:lang w:val="ro-RO"/>
              </w:rPr>
              <w:t>PRIMAR</w:t>
            </w:r>
          </w:p>
          <w:p w14:paraId="1D7B213E" w14:textId="77777777" w:rsidR="00250050" w:rsidRPr="0036663C" w:rsidRDefault="00250050" w:rsidP="00476965">
            <w:pPr>
              <w:jc w:val="center"/>
              <w:rPr>
                <w:szCs w:val="24"/>
                <w:lang w:val="ro-RO"/>
              </w:rPr>
            </w:pPr>
            <w:r w:rsidRPr="0036663C">
              <w:rPr>
                <w:szCs w:val="24"/>
                <w:lang w:val="ro-RO"/>
              </w:rPr>
              <w:t>Kereskényi Gábor</w:t>
            </w:r>
          </w:p>
          <w:p w14:paraId="17B70EEF" w14:textId="657274E4" w:rsidR="00250050" w:rsidRPr="0036663C" w:rsidRDefault="00FD3049" w:rsidP="00FD3049">
            <w:pPr>
              <w:tabs>
                <w:tab w:val="left" w:pos="1197"/>
              </w:tabs>
              <w:rPr>
                <w:lang w:val="ro-RO"/>
              </w:rPr>
            </w:pPr>
            <w:r w:rsidRPr="00FD3049">
              <w:rPr>
                <w:lang w:val="ro-RO"/>
              </w:rPr>
              <w:t xml:space="preserve">                                                         </w:t>
            </w:r>
            <w:r>
              <w:rPr>
                <w:lang w:val="ro-RO"/>
              </w:rPr>
              <w:t xml:space="preserve">     </w:t>
            </w:r>
          </w:p>
        </w:tc>
        <w:tc>
          <w:tcPr>
            <w:tcW w:w="3081" w:type="dxa"/>
            <w:shd w:val="clear" w:color="auto" w:fill="auto"/>
          </w:tcPr>
          <w:p w14:paraId="65F8A6CA" w14:textId="583DC32D" w:rsidR="00250050" w:rsidRPr="0036663C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F23788A" w14:textId="1EA991A3" w:rsidR="00250050" w:rsidRPr="0036663C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36663C">
              <w:rPr>
                <w:szCs w:val="24"/>
                <w:lang w:val="ro-RO"/>
              </w:rPr>
              <w:t xml:space="preserve">Șef </w:t>
            </w:r>
            <w:r w:rsidR="00701A99">
              <w:rPr>
                <w:szCs w:val="24"/>
                <w:lang w:val="ro-RO"/>
              </w:rPr>
              <w:t>B</w:t>
            </w:r>
            <w:r w:rsidRPr="0036663C">
              <w:rPr>
                <w:szCs w:val="24"/>
                <w:lang w:val="ro-RO"/>
              </w:rPr>
              <w:t>irou</w:t>
            </w:r>
            <w:r w:rsidR="00781DBB" w:rsidRPr="0036663C">
              <w:rPr>
                <w:szCs w:val="24"/>
                <w:lang w:val="ro-RO"/>
              </w:rPr>
              <w:t xml:space="preserve"> C.T.S.L. </w:t>
            </w:r>
          </w:p>
          <w:p w14:paraId="5ED401D9" w14:textId="0C997519" w:rsidR="00250050" w:rsidRPr="0036663C" w:rsidRDefault="002912EC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36663C">
              <w:rPr>
                <w:szCs w:val="24"/>
                <w:lang w:val="ro-RO"/>
              </w:rPr>
              <w:t>i</w:t>
            </w:r>
            <w:r w:rsidR="00250050" w:rsidRPr="0036663C">
              <w:rPr>
                <w:szCs w:val="24"/>
                <w:lang w:val="ro-RO"/>
              </w:rPr>
              <w:t>ng. Criste Florin</w:t>
            </w:r>
          </w:p>
        </w:tc>
      </w:tr>
      <w:tr w:rsidR="00FD3049" w:rsidRPr="0036663C" w14:paraId="4DC04DB8" w14:textId="77777777" w:rsidTr="00476965">
        <w:tc>
          <w:tcPr>
            <w:tcW w:w="3080" w:type="dxa"/>
            <w:shd w:val="clear" w:color="auto" w:fill="auto"/>
          </w:tcPr>
          <w:p w14:paraId="7A932659" w14:textId="77777777" w:rsidR="00FD3049" w:rsidRPr="0036663C" w:rsidRDefault="00FD3049" w:rsidP="00476965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A332881" w14:textId="77777777" w:rsidR="00FD3049" w:rsidRPr="0036663C" w:rsidRDefault="00FD3049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7A5C697" w14:textId="77777777" w:rsidR="00FD3049" w:rsidRPr="0036663C" w:rsidRDefault="00FD3049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</w:p>
        </w:tc>
      </w:tr>
    </w:tbl>
    <w:p w14:paraId="65FCC50E" w14:textId="77777777" w:rsidR="00E72ABE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5FD3F" w14:textId="77777777" w:rsidR="00E91EEE" w:rsidRDefault="00E91EEE" w:rsidP="00FE6A48">
      <w:pPr>
        <w:spacing w:after="0" w:line="240" w:lineRule="auto"/>
      </w:pPr>
      <w:r>
        <w:separator/>
      </w:r>
    </w:p>
  </w:endnote>
  <w:endnote w:type="continuationSeparator" w:id="0">
    <w:p w14:paraId="059E3C62" w14:textId="77777777" w:rsidR="00E91EEE" w:rsidRDefault="00E91EE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E328F" w14:textId="77777777" w:rsidR="00E91EEE" w:rsidRDefault="00E91EEE" w:rsidP="00FE6A48">
      <w:pPr>
        <w:spacing w:after="0" w:line="240" w:lineRule="auto"/>
      </w:pPr>
      <w:r>
        <w:separator/>
      </w:r>
    </w:p>
  </w:footnote>
  <w:footnote w:type="continuationSeparator" w:id="0">
    <w:p w14:paraId="0CB0A8B7" w14:textId="77777777" w:rsidR="00E91EEE" w:rsidRDefault="00E91EE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F00B84"/>
    <w:multiLevelType w:val="hybridMultilevel"/>
    <w:tmpl w:val="78F4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EF6614"/>
    <w:multiLevelType w:val="hybridMultilevel"/>
    <w:tmpl w:val="C874B40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BA1C48"/>
    <w:multiLevelType w:val="hybridMultilevel"/>
    <w:tmpl w:val="061E1BC8"/>
    <w:lvl w:ilvl="0" w:tplc="4B98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F0CE5"/>
    <w:multiLevelType w:val="hybridMultilevel"/>
    <w:tmpl w:val="BF20CBB0"/>
    <w:lvl w:ilvl="0" w:tplc="0B9A6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F826B0"/>
    <w:multiLevelType w:val="hybridMultilevel"/>
    <w:tmpl w:val="6DC24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B7598"/>
    <w:multiLevelType w:val="hybridMultilevel"/>
    <w:tmpl w:val="D5C0C2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4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FE839F5"/>
    <w:multiLevelType w:val="hybridMultilevel"/>
    <w:tmpl w:val="BF76AF2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6"/>
  </w:num>
  <w:num w:numId="11">
    <w:abstractNumId w:val="11"/>
  </w:num>
  <w:num w:numId="12">
    <w:abstractNumId w:val="15"/>
  </w:num>
  <w:num w:numId="13">
    <w:abstractNumId w:val="12"/>
  </w:num>
  <w:num w:numId="14">
    <w:abstractNumId w:val="6"/>
  </w:num>
  <w:num w:numId="15">
    <w:abstractNumId w:val="7"/>
  </w:num>
  <w:num w:numId="16">
    <w:abstractNumId w:val="5"/>
  </w:num>
  <w:num w:numId="17">
    <w:abstractNumId w:val="18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96DCF"/>
    <w:rsid w:val="000A522F"/>
    <w:rsid w:val="000B252F"/>
    <w:rsid w:val="000B34E3"/>
    <w:rsid w:val="001109FA"/>
    <w:rsid w:val="00113A40"/>
    <w:rsid w:val="001258A2"/>
    <w:rsid w:val="001823EA"/>
    <w:rsid w:val="001A1FA5"/>
    <w:rsid w:val="001B644D"/>
    <w:rsid w:val="001D07B2"/>
    <w:rsid w:val="00200052"/>
    <w:rsid w:val="00202EC7"/>
    <w:rsid w:val="002153C6"/>
    <w:rsid w:val="00217156"/>
    <w:rsid w:val="00250050"/>
    <w:rsid w:val="00273551"/>
    <w:rsid w:val="00277C15"/>
    <w:rsid w:val="002912EC"/>
    <w:rsid w:val="002B338E"/>
    <w:rsid w:val="002B4822"/>
    <w:rsid w:val="002F6664"/>
    <w:rsid w:val="00316179"/>
    <w:rsid w:val="00316CE0"/>
    <w:rsid w:val="00321CD9"/>
    <w:rsid w:val="0033088A"/>
    <w:rsid w:val="00340389"/>
    <w:rsid w:val="00345E7C"/>
    <w:rsid w:val="0036663C"/>
    <w:rsid w:val="003745E4"/>
    <w:rsid w:val="00375958"/>
    <w:rsid w:val="00375E84"/>
    <w:rsid w:val="00395378"/>
    <w:rsid w:val="003E1F88"/>
    <w:rsid w:val="003E4F79"/>
    <w:rsid w:val="003E6708"/>
    <w:rsid w:val="003F69A7"/>
    <w:rsid w:val="00406CDC"/>
    <w:rsid w:val="00406E25"/>
    <w:rsid w:val="0042058F"/>
    <w:rsid w:val="0042367E"/>
    <w:rsid w:val="00426D15"/>
    <w:rsid w:val="00430E94"/>
    <w:rsid w:val="00435097"/>
    <w:rsid w:val="00435573"/>
    <w:rsid w:val="0046455D"/>
    <w:rsid w:val="004847F4"/>
    <w:rsid w:val="0049557F"/>
    <w:rsid w:val="004957CB"/>
    <w:rsid w:val="004A7B7A"/>
    <w:rsid w:val="004D59FE"/>
    <w:rsid w:val="004D7505"/>
    <w:rsid w:val="004D764E"/>
    <w:rsid w:val="00500B18"/>
    <w:rsid w:val="00502A9B"/>
    <w:rsid w:val="00521C04"/>
    <w:rsid w:val="00533F6D"/>
    <w:rsid w:val="00547674"/>
    <w:rsid w:val="00575348"/>
    <w:rsid w:val="005C3954"/>
    <w:rsid w:val="005C3B41"/>
    <w:rsid w:val="005D5A2C"/>
    <w:rsid w:val="005F2996"/>
    <w:rsid w:val="005F2B7C"/>
    <w:rsid w:val="006226B0"/>
    <w:rsid w:val="00627E10"/>
    <w:rsid w:val="00633B72"/>
    <w:rsid w:val="006507CF"/>
    <w:rsid w:val="006556FA"/>
    <w:rsid w:val="006765C0"/>
    <w:rsid w:val="00685063"/>
    <w:rsid w:val="006A7F89"/>
    <w:rsid w:val="006B3E54"/>
    <w:rsid w:val="006C24C8"/>
    <w:rsid w:val="006D5E58"/>
    <w:rsid w:val="006E5795"/>
    <w:rsid w:val="006F4180"/>
    <w:rsid w:val="00701A99"/>
    <w:rsid w:val="0070682A"/>
    <w:rsid w:val="007169AD"/>
    <w:rsid w:val="00725C13"/>
    <w:rsid w:val="007620A4"/>
    <w:rsid w:val="00781DBB"/>
    <w:rsid w:val="00797B85"/>
    <w:rsid w:val="007B0DAF"/>
    <w:rsid w:val="007C2834"/>
    <w:rsid w:val="007D2FF0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C1A22"/>
    <w:rsid w:val="008E61FD"/>
    <w:rsid w:val="008F221C"/>
    <w:rsid w:val="009050F5"/>
    <w:rsid w:val="00907FC3"/>
    <w:rsid w:val="009100A7"/>
    <w:rsid w:val="00924286"/>
    <w:rsid w:val="00943FA4"/>
    <w:rsid w:val="00953B79"/>
    <w:rsid w:val="00955E2C"/>
    <w:rsid w:val="0096544C"/>
    <w:rsid w:val="009956C1"/>
    <w:rsid w:val="009A02C8"/>
    <w:rsid w:val="009A1B02"/>
    <w:rsid w:val="009A3F8E"/>
    <w:rsid w:val="009A5F09"/>
    <w:rsid w:val="009E4E39"/>
    <w:rsid w:val="009E69A4"/>
    <w:rsid w:val="009F1DE6"/>
    <w:rsid w:val="00A050C0"/>
    <w:rsid w:val="00A272A3"/>
    <w:rsid w:val="00A42E64"/>
    <w:rsid w:val="00A61A0B"/>
    <w:rsid w:val="00A62DB3"/>
    <w:rsid w:val="00A71C0F"/>
    <w:rsid w:val="00A81B36"/>
    <w:rsid w:val="00A836DB"/>
    <w:rsid w:val="00AE7068"/>
    <w:rsid w:val="00AF6E36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BE6553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2BA8"/>
    <w:rsid w:val="00D273FC"/>
    <w:rsid w:val="00D63CEC"/>
    <w:rsid w:val="00D67CAE"/>
    <w:rsid w:val="00D71CCC"/>
    <w:rsid w:val="00DA45AE"/>
    <w:rsid w:val="00DA70AB"/>
    <w:rsid w:val="00DA7D58"/>
    <w:rsid w:val="00DB31CB"/>
    <w:rsid w:val="00DB5BB2"/>
    <w:rsid w:val="00DD0CE2"/>
    <w:rsid w:val="00DD7755"/>
    <w:rsid w:val="00DE6F6A"/>
    <w:rsid w:val="00DF29A0"/>
    <w:rsid w:val="00DF3067"/>
    <w:rsid w:val="00DF4FE2"/>
    <w:rsid w:val="00E13CF7"/>
    <w:rsid w:val="00E16BD0"/>
    <w:rsid w:val="00E227A3"/>
    <w:rsid w:val="00E24B29"/>
    <w:rsid w:val="00E25CA7"/>
    <w:rsid w:val="00E43EE8"/>
    <w:rsid w:val="00E51F90"/>
    <w:rsid w:val="00E72ABE"/>
    <w:rsid w:val="00E770F8"/>
    <w:rsid w:val="00E80BBB"/>
    <w:rsid w:val="00E85043"/>
    <w:rsid w:val="00E91EEE"/>
    <w:rsid w:val="00EA43B7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7F74"/>
    <w:rsid w:val="00FC7665"/>
    <w:rsid w:val="00FD3049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CCC323-7543-427F-B25F-A72A4E0B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6</cp:revision>
  <cp:lastPrinted>2023-06-13T09:27:00Z</cp:lastPrinted>
  <dcterms:created xsi:type="dcterms:W3CDTF">2023-06-14T05:12:00Z</dcterms:created>
  <dcterms:modified xsi:type="dcterms:W3CDTF">2025-01-27T14:02:00Z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