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189BA" w14:textId="77777777" w:rsidR="00EE14D9" w:rsidRPr="004D464B" w:rsidRDefault="00EE14D9" w:rsidP="006855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DO"/>
        </w:rPr>
      </w:pPr>
      <w:r w:rsidRPr="004D464B">
        <w:rPr>
          <w:rFonts w:ascii="Times New Roman" w:hAnsi="Times New Roman" w:cs="Times New Roman"/>
          <w:b/>
          <w:bCs/>
          <w:sz w:val="28"/>
          <w:szCs w:val="28"/>
          <w:lang w:val="es-DO"/>
        </w:rPr>
        <w:t>MUNICIPIUL SATU MARE</w:t>
      </w:r>
    </w:p>
    <w:p w14:paraId="144D8F32" w14:textId="77777777" w:rsidR="00EE14D9" w:rsidRPr="004D464B" w:rsidRDefault="00EE14D9" w:rsidP="006855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DO"/>
        </w:rPr>
      </w:pPr>
      <w:r w:rsidRPr="004D464B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DIRECȚIA DE IMPOZITE ȘI TAXE LOCALE </w:t>
      </w:r>
    </w:p>
    <w:p w14:paraId="7E7B36D8" w14:textId="22E0811A" w:rsidR="00EE14D9" w:rsidRDefault="00EE14D9" w:rsidP="0068559E">
      <w:pPr>
        <w:pStyle w:val="Header"/>
        <w:rPr>
          <w:noProof/>
        </w:rPr>
      </w:pPr>
      <w:r w:rsidRPr="00667704">
        <w:rPr>
          <w:rFonts w:ascii="Times New Roman" w:hAnsi="Times New Roman" w:cs="Times New Roman"/>
          <w:b/>
          <w:bCs/>
          <w:sz w:val="28"/>
          <w:szCs w:val="28"/>
        </w:rPr>
        <w:t xml:space="preserve">NR. </w:t>
      </w:r>
      <w:r w:rsidR="00034A83">
        <w:rPr>
          <w:rFonts w:ascii="Times New Roman" w:hAnsi="Times New Roman" w:cs="Times New Roman"/>
          <w:b/>
          <w:bCs/>
          <w:iCs/>
          <w:sz w:val="28"/>
          <w:szCs w:val="28"/>
        </w:rPr>
        <w:t>291191</w:t>
      </w:r>
      <w:r w:rsidRPr="00667704">
        <w:rPr>
          <w:rFonts w:ascii="Times New Roman" w:hAnsi="Times New Roman" w:cs="Times New Roman"/>
          <w:b/>
          <w:bCs/>
          <w:iCs/>
          <w:sz w:val="28"/>
          <w:szCs w:val="28"/>
        </w:rPr>
        <w:t>/</w:t>
      </w:r>
      <w:r w:rsidR="00034A83">
        <w:rPr>
          <w:rFonts w:ascii="Times New Roman" w:hAnsi="Times New Roman" w:cs="Times New Roman"/>
          <w:b/>
          <w:bCs/>
          <w:iCs/>
          <w:sz w:val="28"/>
          <w:szCs w:val="28"/>
        </w:rPr>
        <w:t>11</w:t>
      </w:r>
      <w:r w:rsidRPr="00667704">
        <w:rPr>
          <w:rFonts w:ascii="Times New Roman" w:hAnsi="Times New Roman" w:cs="Times New Roman"/>
          <w:b/>
          <w:bCs/>
          <w:iCs/>
          <w:sz w:val="28"/>
          <w:szCs w:val="28"/>
        </w:rPr>
        <w:t>.1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667704">
        <w:rPr>
          <w:rFonts w:ascii="Times New Roman" w:hAnsi="Times New Roman" w:cs="Times New Roman"/>
          <w:b/>
          <w:bCs/>
          <w:iCs/>
          <w:sz w:val="28"/>
          <w:szCs w:val="28"/>
        </w:rPr>
        <w:t>.202</w:t>
      </w:r>
      <w:r w:rsidR="00034A83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5663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</w:p>
    <w:p w14:paraId="45C3E925" w14:textId="77777777" w:rsidR="00EE14D9" w:rsidRDefault="00EE14D9" w:rsidP="005C40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0E0D24" w14:textId="77777777" w:rsidR="00EE14D9" w:rsidRDefault="00EE14D9" w:rsidP="005C40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53BBC0" w14:textId="57F3F9D3" w:rsidR="00EE14D9" w:rsidRDefault="00EE14D9" w:rsidP="005C40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704">
        <w:rPr>
          <w:rFonts w:ascii="Times New Roman" w:hAnsi="Times New Roman" w:cs="Times New Roman"/>
          <w:bCs/>
          <w:sz w:val="28"/>
          <w:szCs w:val="28"/>
        </w:rPr>
        <w:t>În temeiul prevederilor art.136 alin. (8) lit. b) din OUG nr. 57/2019 privind Codul Administrativ, cu modificările și completările ulterioare, Direcția Impozite și Taxe Locale din cadrul aparatului de specialitate al Primarului Municipiului Satu Mare, formulează următorul</w:t>
      </w:r>
    </w:p>
    <w:p w14:paraId="600FFB43" w14:textId="77777777" w:rsidR="00EE14D9" w:rsidRDefault="00EE14D9" w:rsidP="005C40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A90F21" w14:textId="77777777" w:rsidR="00EE14D9" w:rsidRPr="00667704" w:rsidRDefault="00EE14D9" w:rsidP="005C40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A918F0" w14:textId="682CCD60" w:rsidR="006D0F12" w:rsidRPr="004D464B" w:rsidRDefault="00EE14D9" w:rsidP="005C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DO"/>
        </w:rPr>
      </w:pPr>
      <w:r w:rsidRPr="004D464B">
        <w:rPr>
          <w:rFonts w:ascii="Times New Roman" w:hAnsi="Times New Roman" w:cs="Times New Roman"/>
          <w:b/>
          <w:sz w:val="28"/>
          <w:szCs w:val="28"/>
          <w:lang w:val="es-DO"/>
        </w:rPr>
        <w:t>RAPORT DE SPECIALITATE</w:t>
      </w:r>
    </w:p>
    <w:p w14:paraId="4709BAAA" w14:textId="3E22CA9C" w:rsidR="00EE14D9" w:rsidRPr="00EE14D9" w:rsidRDefault="00EE14D9" w:rsidP="005C40A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val="ro-RO"/>
          <w14:ligatures w14:val="standardContextual"/>
        </w:rPr>
      </w:pPr>
      <w:r w:rsidRPr="00EE14D9">
        <w:rPr>
          <w:rFonts w:ascii="Times New Roman" w:hAnsi="Times New Roman" w:cs="Times New Roman"/>
          <w:b/>
          <w:kern w:val="2"/>
          <w:sz w:val="28"/>
          <w:szCs w:val="28"/>
          <w:lang w:val="ro-RO"/>
          <w14:ligatures w14:val="standardContextual"/>
        </w:rPr>
        <w:t xml:space="preserve">        la proiectul de hotărâre privind imobilele cărora li se vor aplica</w:t>
      </w:r>
    </w:p>
    <w:p w14:paraId="5B4AD8A2" w14:textId="77777777" w:rsidR="00EE14D9" w:rsidRDefault="00EE14D9" w:rsidP="005C40A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val="ro-RO"/>
          <w14:ligatures w14:val="standardContextual"/>
        </w:rPr>
      </w:pPr>
      <w:r w:rsidRPr="00EE14D9">
        <w:rPr>
          <w:rFonts w:ascii="Times New Roman" w:hAnsi="Times New Roman" w:cs="Times New Roman"/>
          <w:b/>
          <w:kern w:val="2"/>
          <w:sz w:val="28"/>
          <w:szCs w:val="28"/>
          <w:lang w:val="ro-RO"/>
          <w14:ligatures w14:val="standardContextual"/>
        </w:rPr>
        <w:t xml:space="preserve">prevederile art. 489 alin. (5) - (8) din Legea nr. 227/2015 </w:t>
      </w:r>
    </w:p>
    <w:p w14:paraId="1DC8836B" w14:textId="77777777" w:rsidR="00EE14D9" w:rsidRPr="00EE14D9" w:rsidRDefault="00EE14D9" w:rsidP="005C40A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val="ro-RO"/>
          <w14:ligatures w14:val="standardContextual"/>
        </w:rPr>
      </w:pPr>
    </w:p>
    <w:p w14:paraId="5A5BEBF5" w14:textId="77777777" w:rsidR="00A905BE" w:rsidRPr="007401F3" w:rsidRDefault="00A905BE" w:rsidP="005C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7717887" w14:textId="77777777" w:rsidR="00EE14D9" w:rsidRPr="004D464B" w:rsidRDefault="00EE14D9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4D464B">
        <w:rPr>
          <w:rFonts w:ascii="Times New Roman" w:hAnsi="Times New Roman" w:cs="Times New Roman"/>
          <w:sz w:val="28"/>
          <w:szCs w:val="28"/>
          <w:lang w:val="es-DO"/>
        </w:rPr>
        <w:t xml:space="preserve">Legea nr. 227/2015 privind Codul fiscal, cu modificările și completările ulterioare, este actul normativ ce reglementează materia fiscală, inclusiv la nivel local. </w:t>
      </w:r>
    </w:p>
    <w:p w14:paraId="172997E8" w14:textId="77777777" w:rsidR="00EE14D9" w:rsidRPr="004D464B" w:rsidRDefault="00EE14D9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s-DO"/>
        </w:rPr>
      </w:pPr>
      <w:r w:rsidRPr="004D464B">
        <w:rPr>
          <w:rFonts w:ascii="Times New Roman" w:hAnsi="Times New Roman" w:cs="Times New Roman"/>
          <w:sz w:val="28"/>
          <w:szCs w:val="28"/>
          <w:lang w:val="es-DO"/>
        </w:rPr>
        <w:t>În  Titlul IX din Codul Fiscal,  sunt prezentate impozitele și taxele locale așa cum acestea au fost stabilite de către legiuitor.</w:t>
      </w:r>
    </w:p>
    <w:p w14:paraId="1D2E673C" w14:textId="0B5FB5BE" w:rsidR="006D0F12" w:rsidRPr="007401F3" w:rsidRDefault="006D0F12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În conformitate cu prevederile:</w:t>
      </w:r>
    </w:p>
    <w:p w14:paraId="183B3D8B" w14:textId="342FE3B9" w:rsidR="006D0F12" w:rsidRPr="007401F3" w:rsidRDefault="006D0F12" w:rsidP="005C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- Legii nr. 227/2015 privind Codul fiscal, cu modificările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completările ulterioare; </w:t>
      </w:r>
    </w:p>
    <w:p w14:paraId="4B7892FF" w14:textId="6529A3A8" w:rsidR="006D0F12" w:rsidRPr="007401F3" w:rsidRDefault="006D0F12" w:rsidP="005C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- Legii nr. 273/2006 privind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finanțele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publice locale, cu modificările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completările ulterioare;</w:t>
      </w:r>
    </w:p>
    <w:p w14:paraId="6BAC15AE" w14:textId="77777777" w:rsidR="006D0F12" w:rsidRPr="007401F3" w:rsidRDefault="006D0F12" w:rsidP="005C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- Legii nr. 24/2000 privind normele de tehnică legislativă pentru elaborarea actelor normative republicată, cu modificările și completările ulterioare</w:t>
      </w:r>
    </w:p>
    <w:p w14:paraId="43C89445" w14:textId="338E3463" w:rsidR="006D0F12" w:rsidRPr="007401F3" w:rsidRDefault="006D0F12" w:rsidP="005C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- Legii nr. 52/2003 privind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transparența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decizională în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administrația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publică locală republicată;</w:t>
      </w:r>
    </w:p>
    <w:p w14:paraId="1CB8C2C0" w14:textId="77777777" w:rsidR="006D0F12" w:rsidRPr="007401F3" w:rsidRDefault="006D0F12" w:rsidP="005C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713FE77" w14:textId="77777777" w:rsidR="006D0F12" w:rsidRPr="007401F3" w:rsidRDefault="006D0F12" w:rsidP="005C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Luând în considerare:</w:t>
      </w:r>
    </w:p>
    <w:p w14:paraId="3E5DE3CF" w14:textId="2EBF928E" w:rsidR="007404EE" w:rsidRPr="004D464B" w:rsidRDefault="007404EE" w:rsidP="005C4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4D464B">
        <w:rPr>
          <w:rFonts w:ascii="Times New Roman" w:hAnsi="Times New Roman"/>
          <w:sz w:val="28"/>
          <w:szCs w:val="28"/>
          <w:lang w:val="ro-RO"/>
        </w:rPr>
        <w:t>Prevederile art.489 din Legea nr. </w:t>
      </w:r>
      <w:hyperlink r:id="rId8" w:history="1">
        <w:r w:rsidRPr="004D464B">
          <w:rPr>
            <w:rFonts w:ascii="Times New Roman" w:hAnsi="Times New Roman"/>
            <w:sz w:val="28"/>
            <w:szCs w:val="28"/>
            <w:lang w:val="ro-RO"/>
          </w:rPr>
          <w:t>227/2015</w:t>
        </w:r>
      </w:hyperlink>
      <w:r w:rsidRPr="004D464B">
        <w:rPr>
          <w:rFonts w:ascii="Times New Roman" w:hAnsi="Times New Roman"/>
          <w:sz w:val="28"/>
          <w:szCs w:val="28"/>
          <w:lang w:val="ro-RO"/>
        </w:rPr>
        <w:t> privind </w:t>
      </w:r>
      <w:hyperlink r:id="rId9" w:history="1">
        <w:r w:rsidR="00AF3FA6" w:rsidRPr="004D464B">
          <w:rPr>
            <w:rFonts w:ascii="Times New Roman" w:hAnsi="Times New Roman"/>
            <w:sz w:val="28"/>
            <w:szCs w:val="28"/>
            <w:lang w:val="ro-RO"/>
          </w:rPr>
          <w:t>C</w:t>
        </w:r>
        <w:r w:rsidRPr="004D464B">
          <w:rPr>
            <w:rFonts w:ascii="Times New Roman" w:hAnsi="Times New Roman"/>
            <w:sz w:val="28"/>
            <w:szCs w:val="28"/>
            <w:lang w:val="ro-RO"/>
          </w:rPr>
          <w:t>odul</w:t>
        </w:r>
        <w:r w:rsidR="00AF3FA6" w:rsidRPr="004D464B">
          <w:rPr>
            <w:rFonts w:ascii="Times New Roman" w:hAnsi="Times New Roman"/>
            <w:sz w:val="28"/>
            <w:szCs w:val="28"/>
            <w:lang w:val="ro-RO"/>
          </w:rPr>
          <w:t xml:space="preserve"> </w:t>
        </w:r>
        <w:r w:rsidRPr="004D464B">
          <w:rPr>
            <w:rFonts w:ascii="Times New Roman" w:hAnsi="Times New Roman"/>
            <w:sz w:val="28"/>
            <w:szCs w:val="28"/>
            <w:lang w:val="ro-RO"/>
          </w:rPr>
          <w:t>fiscal</w:t>
        </w:r>
      </w:hyperlink>
      <w:r w:rsidRPr="004D464B">
        <w:rPr>
          <w:rFonts w:ascii="Times New Roman" w:hAnsi="Times New Roman"/>
          <w:sz w:val="28"/>
          <w:szCs w:val="28"/>
          <w:lang w:val="ro-RO"/>
        </w:rPr>
        <w:t>, de Hotărârea Consiliului Local al Municipiului Satu Mare nr.</w:t>
      </w:r>
      <w:r w:rsidR="00AF3FA6" w:rsidRPr="004D464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4D464B">
        <w:rPr>
          <w:rFonts w:ascii="Times New Roman" w:hAnsi="Times New Roman"/>
          <w:sz w:val="28"/>
          <w:szCs w:val="28"/>
          <w:lang w:val="ro-RO"/>
        </w:rPr>
        <w:t xml:space="preserve">207/2021 privind aprobarea Regulamentului de stabilire a criteriilor de identificare a clădirilor şi terenurilor neîngrijite situate în intravilanul Municipiului Satu Mare, în vederea aplicării prevederilor art.489 alin. (5) - (8) din Legea nr.227/2015 privind Codul </w:t>
      </w:r>
      <w:r w:rsidR="00AF3FA6" w:rsidRPr="004D464B">
        <w:rPr>
          <w:rFonts w:ascii="Times New Roman" w:hAnsi="Times New Roman"/>
          <w:sz w:val="28"/>
          <w:szCs w:val="28"/>
          <w:lang w:val="ro-RO"/>
        </w:rPr>
        <w:t>f</w:t>
      </w:r>
      <w:r w:rsidRPr="004D464B">
        <w:rPr>
          <w:rFonts w:ascii="Times New Roman" w:hAnsi="Times New Roman"/>
          <w:sz w:val="28"/>
          <w:szCs w:val="28"/>
          <w:lang w:val="ro-RO"/>
        </w:rPr>
        <w:t xml:space="preserve">iscal </w:t>
      </w:r>
      <w:r w:rsidR="00AF3FA6" w:rsidRPr="004D464B">
        <w:rPr>
          <w:rFonts w:ascii="Times New Roman" w:hAnsi="Times New Roman"/>
          <w:sz w:val="28"/>
          <w:szCs w:val="28"/>
          <w:lang w:val="ro-RO"/>
        </w:rPr>
        <w:t>ș</w:t>
      </w:r>
      <w:r w:rsidRPr="004D464B">
        <w:rPr>
          <w:rFonts w:ascii="Times New Roman" w:hAnsi="Times New Roman"/>
          <w:sz w:val="28"/>
          <w:szCs w:val="28"/>
          <w:lang w:val="ro-RO"/>
        </w:rPr>
        <w:t>i pct. 168 din HG nr.1/2016 pentru aprobarea Normelor metodologice de aplicare a Legii nr.227/2015 privind Codul fiscal ;</w:t>
      </w:r>
    </w:p>
    <w:p w14:paraId="03B9B448" w14:textId="77777777" w:rsidR="00034A83" w:rsidRPr="004D464B" w:rsidRDefault="00034A83" w:rsidP="005C4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32F94119" w14:textId="0666110E" w:rsidR="007404EE" w:rsidRPr="004D464B" w:rsidRDefault="007404EE" w:rsidP="005C4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4D464B">
        <w:rPr>
          <w:rFonts w:ascii="Times New Roman" w:hAnsi="Times New Roman"/>
          <w:sz w:val="28"/>
          <w:szCs w:val="28"/>
          <w:lang w:val="ro-RO"/>
        </w:rPr>
        <w:t>“Art. 489: Majorarea impozitelor şi taxelor locale de consiliile locale sau consiliile judeţene</w:t>
      </w:r>
    </w:p>
    <w:p w14:paraId="14A8F3CC" w14:textId="788F33A3" w:rsidR="00AF3FA6" w:rsidRPr="004D464B" w:rsidRDefault="00AF3FA6" w:rsidP="0068559E">
      <w:pPr>
        <w:shd w:val="clear" w:color="auto" w:fill="FFFFFF"/>
        <w:tabs>
          <w:tab w:val="left" w:pos="23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4D464B">
        <w:rPr>
          <w:rFonts w:ascii="Times New Roman" w:hAnsi="Times New Roman"/>
          <w:sz w:val="28"/>
          <w:szCs w:val="28"/>
          <w:lang w:val="ro-RO"/>
        </w:rPr>
        <w:t>…</w:t>
      </w:r>
      <w:r w:rsidR="0068559E" w:rsidRPr="004D464B">
        <w:rPr>
          <w:rFonts w:ascii="Times New Roman" w:hAnsi="Times New Roman"/>
          <w:sz w:val="28"/>
          <w:szCs w:val="28"/>
          <w:lang w:val="ro-RO"/>
        </w:rPr>
        <w:tab/>
      </w:r>
    </w:p>
    <w:p w14:paraId="6DB27059" w14:textId="3E8C778E" w:rsidR="007404EE" w:rsidRPr="004D464B" w:rsidRDefault="007404EE" w:rsidP="005C4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s-DO"/>
        </w:rPr>
      </w:pPr>
      <w:bookmarkStart w:id="0" w:name="do|ttIX|caX|ar489|al1"/>
      <w:bookmarkEnd w:id="0"/>
      <w:r w:rsidRPr="004D464B">
        <w:rPr>
          <w:rFonts w:ascii="Times New Roman" w:hAnsi="Times New Roman"/>
          <w:sz w:val="28"/>
          <w:szCs w:val="28"/>
          <w:lang w:val="ro-RO"/>
        </w:rPr>
        <w:t>(5)</w:t>
      </w:r>
      <w:r w:rsidR="00CE4283" w:rsidRPr="004D464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4D464B">
        <w:rPr>
          <w:rFonts w:ascii="Times New Roman" w:hAnsi="Times New Roman"/>
          <w:sz w:val="28"/>
          <w:szCs w:val="28"/>
          <w:lang w:val="ro-RO"/>
        </w:rPr>
        <w:t xml:space="preserve">Consiliul local poate majora impozitul pe clădiri şi impozitul pe teren cu până la 500% pentru clădirile şi terenurile neîngrijite, situate în intravilan. </w:t>
      </w:r>
      <w:r w:rsidRPr="004D464B">
        <w:rPr>
          <w:rFonts w:ascii="Times New Roman" w:hAnsi="Times New Roman"/>
          <w:sz w:val="28"/>
          <w:szCs w:val="28"/>
          <w:lang w:val="es-DO"/>
        </w:rPr>
        <w:t>“,</w:t>
      </w:r>
    </w:p>
    <w:p w14:paraId="5A3BE04D" w14:textId="77777777" w:rsidR="00EE14D9" w:rsidRPr="004D464B" w:rsidRDefault="00EE14D9" w:rsidP="005C4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s-DO"/>
        </w:rPr>
      </w:pPr>
    </w:p>
    <w:p w14:paraId="718CF42D" w14:textId="281731F5" w:rsidR="007404EE" w:rsidRPr="004D464B" w:rsidRDefault="007404EE" w:rsidP="005C4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s-DO"/>
        </w:rPr>
      </w:pPr>
      <w:r w:rsidRPr="004D464B">
        <w:rPr>
          <w:rFonts w:ascii="Times New Roman" w:hAnsi="Times New Roman"/>
          <w:sz w:val="28"/>
          <w:szCs w:val="28"/>
          <w:lang w:val="es-DO"/>
        </w:rPr>
        <w:t xml:space="preserve">Prin aprobarea proiectului de hotărâre privind 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>imobilele cărora li se vor aplica</w:t>
      </w:r>
      <w:r w:rsidR="000707A0" w:rsidRPr="004D464B">
        <w:rPr>
          <w:rFonts w:ascii="Times New Roman" w:hAnsi="Times New Roman"/>
          <w:sz w:val="28"/>
          <w:szCs w:val="28"/>
          <w:lang w:val="es-DO"/>
        </w:rPr>
        <w:t xml:space="preserve"> 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 xml:space="preserve">prevederile art. 489 alin. (5) - (8) din Legea nr. 227/2015, </w:t>
      </w:r>
      <w:r w:rsidR="002F0580" w:rsidRPr="004D464B">
        <w:rPr>
          <w:rFonts w:ascii="Times New Roman" w:hAnsi="Times New Roman"/>
          <w:sz w:val="28"/>
          <w:szCs w:val="28"/>
          <w:lang w:val="es-DO"/>
        </w:rPr>
        <w:t>pentru perioada 2022-2024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>,</w:t>
      </w:r>
      <w:r w:rsidR="000707A0" w:rsidRPr="004D464B">
        <w:rPr>
          <w:rFonts w:ascii="Times New Roman" w:hAnsi="Times New Roman"/>
          <w:sz w:val="28"/>
          <w:szCs w:val="28"/>
          <w:lang w:val="es-DO"/>
        </w:rPr>
        <w:t xml:space="preserve"> 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se constată că  potrivit analizei făcute de </w:t>
      </w:r>
      <w:r w:rsidRPr="004D464B">
        <w:rPr>
          <w:rFonts w:ascii="Times New Roman" w:eastAsia="Times New Roman" w:hAnsi="Times New Roman"/>
          <w:sz w:val="28"/>
          <w:szCs w:val="28"/>
          <w:lang w:val="es-DO"/>
        </w:rPr>
        <w:t>Comisia de identificare a cl</w:t>
      </w:r>
      <w:r w:rsidRPr="009C7B86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4D464B">
        <w:rPr>
          <w:rFonts w:ascii="Times New Roman" w:eastAsia="Times New Roman" w:hAnsi="Times New Roman"/>
          <w:sz w:val="28"/>
          <w:szCs w:val="28"/>
          <w:lang w:val="es-DO"/>
        </w:rPr>
        <w:t>dirilor neîngrijite situate în intravilanul municipiului Satu Mare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  pentru un număr de </w:t>
      </w:r>
      <w:r w:rsidR="00AB45AE" w:rsidRPr="004D464B">
        <w:rPr>
          <w:rFonts w:ascii="Times New Roman" w:hAnsi="Times New Roman"/>
          <w:b/>
          <w:bCs/>
          <w:sz w:val="28"/>
          <w:szCs w:val="28"/>
          <w:lang w:val="es-DO"/>
        </w:rPr>
        <w:t>51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 de proprietari care de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>ț</w:t>
      </w:r>
      <w:r w:rsidRPr="004D464B">
        <w:rPr>
          <w:rFonts w:ascii="Times New Roman" w:hAnsi="Times New Roman"/>
          <w:sz w:val="28"/>
          <w:szCs w:val="28"/>
          <w:lang w:val="es-DO"/>
        </w:rPr>
        <w:t>in cl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>ă</w:t>
      </w:r>
      <w:r w:rsidRPr="004D464B">
        <w:rPr>
          <w:rFonts w:ascii="Times New Roman" w:hAnsi="Times New Roman"/>
          <w:sz w:val="28"/>
          <w:szCs w:val="28"/>
          <w:lang w:val="es-DO"/>
        </w:rPr>
        <w:t>diri situate în municipiul Satu Mare  se va</w:t>
      </w:r>
      <w:r w:rsidR="002F0580" w:rsidRPr="004D464B">
        <w:rPr>
          <w:rFonts w:ascii="Times New Roman" w:hAnsi="Times New Roman"/>
          <w:sz w:val="28"/>
          <w:szCs w:val="28"/>
          <w:lang w:val="es-DO"/>
        </w:rPr>
        <w:t xml:space="preserve"> </w:t>
      </w:r>
      <w:r w:rsidRPr="004D464B">
        <w:rPr>
          <w:rFonts w:ascii="Times New Roman" w:hAnsi="Times New Roman"/>
          <w:sz w:val="28"/>
          <w:szCs w:val="28"/>
          <w:lang w:val="es-DO"/>
        </w:rPr>
        <w:t>aplica o majorare a impozitului pe clădiri cu 500%</w:t>
      </w:r>
      <w:r w:rsidR="00CE4283" w:rsidRPr="004D464B">
        <w:rPr>
          <w:rFonts w:ascii="Times New Roman" w:hAnsi="Times New Roman"/>
          <w:sz w:val="28"/>
          <w:szCs w:val="28"/>
          <w:lang w:val="es-DO"/>
        </w:rPr>
        <w:t>.</w:t>
      </w:r>
      <w:r w:rsidR="002F0580" w:rsidRPr="004D464B">
        <w:rPr>
          <w:rFonts w:ascii="Times New Roman" w:hAnsi="Times New Roman"/>
          <w:sz w:val="28"/>
          <w:szCs w:val="28"/>
          <w:lang w:val="es-DO"/>
        </w:rPr>
        <w:t xml:space="preserve"> Acestea se reg</w:t>
      </w:r>
      <w:r w:rsidR="005C40AA" w:rsidRPr="004D464B">
        <w:rPr>
          <w:rFonts w:ascii="Times New Roman" w:hAnsi="Times New Roman"/>
          <w:sz w:val="28"/>
          <w:szCs w:val="28"/>
          <w:lang w:val="es-DO"/>
        </w:rPr>
        <w:t>ă</w:t>
      </w:r>
      <w:r w:rsidR="002F0580" w:rsidRPr="004D464B">
        <w:rPr>
          <w:rFonts w:ascii="Times New Roman" w:hAnsi="Times New Roman"/>
          <w:sz w:val="28"/>
          <w:szCs w:val="28"/>
          <w:lang w:val="es-DO"/>
        </w:rPr>
        <w:t xml:space="preserve">sesc </w:t>
      </w:r>
      <w:r w:rsidR="005C40AA" w:rsidRPr="004D464B">
        <w:rPr>
          <w:rFonts w:ascii="Times New Roman" w:hAnsi="Times New Roman"/>
          <w:sz w:val="28"/>
          <w:szCs w:val="28"/>
          <w:lang w:val="es-DO"/>
        </w:rPr>
        <w:t>î</w:t>
      </w:r>
      <w:r w:rsidR="002F0580" w:rsidRPr="004D464B">
        <w:rPr>
          <w:rFonts w:ascii="Times New Roman" w:hAnsi="Times New Roman"/>
          <w:sz w:val="28"/>
          <w:szCs w:val="28"/>
          <w:lang w:val="es-DO"/>
        </w:rPr>
        <w:t>n anexele de la nr.1-</w:t>
      </w:r>
      <w:r w:rsidR="00AB45AE" w:rsidRPr="004D464B">
        <w:rPr>
          <w:rFonts w:ascii="Times New Roman" w:hAnsi="Times New Roman"/>
          <w:sz w:val="28"/>
          <w:szCs w:val="28"/>
          <w:lang w:val="es-DO"/>
        </w:rPr>
        <w:t>3</w:t>
      </w:r>
      <w:r w:rsidR="002F0580" w:rsidRPr="004D464B">
        <w:rPr>
          <w:rFonts w:ascii="Times New Roman" w:hAnsi="Times New Roman"/>
          <w:sz w:val="28"/>
          <w:szCs w:val="28"/>
          <w:lang w:val="es-DO"/>
        </w:rPr>
        <w:t xml:space="preserve"> la proiectul de hot</w:t>
      </w:r>
      <w:r w:rsidR="002B2506" w:rsidRPr="004D464B">
        <w:rPr>
          <w:rFonts w:ascii="Times New Roman" w:hAnsi="Times New Roman"/>
          <w:sz w:val="28"/>
          <w:szCs w:val="28"/>
          <w:lang w:val="es-DO"/>
        </w:rPr>
        <w:t>ă</w:t>
      </w:r>
      <w:r w:rsidR="002F0580" w:rsidRPr="004D464B">
        <w:rPr>
          <w:rFonts w:ascii="Times New Roman" w:hAnsi="Times New Roman"/>
          <w:sz w:val="28"/>
          <w:szCs w:val="28"/>
          <w:lang w:val="es-DO"/>
        </w:rPr>
        <w:t>r</w:t>
      </w:r>
      <w:r w:rsidR="002B2506" w:rsidRPr="004D464B">
        <w:rPr>
          <w:rFonts w:ascii="Times New Roman" w:hAnsi="Times New Roman"/>
          <w:sz w:val="28"/>
          <w:szCs w:val="28"/>
          <w:lang w:val="es-DO"/>
        </w:rPr>
        <w:t>â</w:t>
      </w:r>
      <w:r w:rsidR="002F0580" w:rsidRPr="004D464B">
        <w:rPr>
          <w:rFonts w:ascii="Times New Roman" w:hAnsi="Times New Roman"/>
          <w:sz w:val="28"/>
          <w:szCs w:val="28"/>
          <w:lang w:val="es-DO"/>
        </w:rPr>
        <w:t>re.</w:t>
      </w:r>
    </w:p>
    <w:p w14:paraId="545B3054" w14:textId="77777777" w:rsidR="00AB45AE" w:rsidRPr="004D464B" w:rsidRDefault="00AB45AE" w:rsidP="005C4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s-DO"/>
        </w:rPr>
      </w:pPr>
    </w:p>
    <w:p w14:paraId="1AACC9E3" w14:textId="016E88B2" w:rsidR="00AB45AE" w:rsidRPr="004D464B" w:rsidRDefault="00AB45AE" w:rsidP="005C4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s-DO"/>
        </w:rPr>
      </w:pPr>
      <w:r w:rsidRPr="004D464B">
        <w:rPr>
          <w:rFonts w:ascii="Times New Roman" w:hAnsi="Times New Roman"/>
          <w:sz w:val="28"/>
          <w:szCs w:val="28"/>
          <w:lang w:val="es-DO"/>
        </w:rPr>
        <w:t>În ceea ce privește  aplicarea majorării impozitului cu 500%, începând cu an</w:t>
      </w:r>
      <w:r w:rsidR="00034A83" w:rsidRPr="004D464B">
        <w:rPr>
          <w:rFonts w:ascii="Times New Roman" w:hAnsi="Times New Roman"/>
          <w:sz w:val="28"/>
          <w:szCs w:val="28"/>
          <w:lang w:val="es-DO"/>
        </w:rPr>
        <w:t>ii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 202</w:t>
      </w:r>
      <w:r w:rsidR="00034A83" w:rsidRPr="004D464B">
        <w:rPr>
          <w:rFonts w:ascii="Times New Roman" w:hAnsi="Times New Roman"/>
          <w:sz w:val="28"/>
          <w:szCs w:val="28"/>
          <w:lang w:val="es-DO"/>
        </w:rPr>
        <w:t>3 respectiv  2024</w:t>
      </w:r>
      <w:r w:rsidRPr="004D464B">
        <w:rPr>
          <w:rFonts w:ascii="Times New Roman" w:hAnsi="Times New Roman"/>
          <w:sz w:val="28"/>
          <w:szCs w:val="28"/>
          <w:lang w:val="es-DO"/>
        </w:rPr>
        <w:t>, preicizăm că acest fapt este reglementat de art.11 alin</w:t>
      </w:r>
      <w:r w:rsidR="005C40AA" w:rsidRPr="004D464B">
        <w:rPr>
          <w:rFonts w:ascii="Times New Roman" w:hAnsi="Times New Roman"/>
          <w:sz w:val="28"/>
          <w:szCs w:val="28"/>
          <w:lang w:val="es-DO"/>
        </w:rPr>
        <w:t>.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 (12) al Anexei nr.1 la H.C.L. Satu Mare nr.207/26.08.2021, de unde redăm :</w:t>
      </w:r>
    </w:p>
    <w:p w14:paraId="768782CF" w14:textId="77777777" w:rsidR="00AB45AE" w:rsidRPr="004D464B" w:rsidRDefault="00AB45AE" w:rsidP="005C4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s-DO"/>
        </w:rPr>
      </w:pPr>
    </w:p>
    <w:p w14:paraId="3AF28B42" w14:textId="79F873AD" w:rsidR="00AB45AE" w:rsidRPr="004D464B" w:rsidRDefault="00AB45AE" w:rsidP="005C40AA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es-DO"/>
        </w:rPr>
      </w:pPr>
      <w:r w:rsidRPr="004D464B">
        <w:rPr>
          <w:rFonts w:ascii="Times New Roman" w:hAnsi="Times New Roman"/>
          <w:i/>
          <w:iCs/>
          <w:sz w:val="28"/>
          <w:szCs w:val="28"/>
          <w:lang w:val="es-DO"/>
        </w:rPr>
        <w:t xml:space="preserve">“(12.) La data de 30 noiembrie  a anului fiscal în curs, Comisia de identificare va analiza valabilitatea tuturor certificatelor de urbanism, autorizații de construire și contracte de execuție și </w:t>
      </w:r>
      <w:r w:rsidRPr="004D464B">
        <w:rPr>
          <w:rFonts w:ascii="Times New Roman" w:hAnsi="Times New Roman"/>
          <w:b/>
          <w:bCs/>
          <w:i/>
          <w:iCs/>
          <w:sz w:val="28"/>
          <w:szCs w:val="28"/>
          <w:lang w:val="es-DO"/>
        </w:rPr>
        <w:t>în cazul expirării acestora și nerealizării lucrărilor</w:t>
      </w:r>
      <w:r w:rsidRPr="004D464B">
        <w:rPr>
          <w:rFonts w:ascii="Times New Roman" w:hAnsi="Times New Roman"/>
          <w:i/>
          <w:iCs/>
          <w:sz w:val="28"/>
          <w:szCs w:val="28"/>
          <w:lang w:val="es-DO"/>
        </w:rPr>
        <w:t xml:space="preserve"> de intervenție menționate în Nota tehnică de constatare, </w:t>
      </w:r>
      <w:r w:rsidRPr="004D464B">
        <w:rPr>
          <w:rFonts w:ascii="Times New Roman" w:hAnsi="Times New Roman"/>
          <w:b/>
          <w:bCs/>
          <w:i/>
          <w:iCs/>
          <w:sz w:val="28"/>
          <w:szCs w:val="28"/>
          <w:lang w:val="es-DO"/>
        </w:rPr>
        <w:t>va propune aplicarea majorării</w:t>
      </w:r>
      <w:r w:rsidRPr="004D464B">
        <w:rPr>
          <w:rFonts w:ascii="Times New Roman" w:hAnsi="Times New Roman"/>
          <w:i/>
          <w:iCs/>
          <w:sz w:val="28"/>
          <w:szCs w:val="28"/>
          <w:lang w:val="es-DO"/>
        </w:rPr>
        <w:t xml:space="preserve"> impozitului pentru imobilul în cauză </w:t>
      </w:r>
      <w:r w:rsidRPr="004D464B">
        <w:rPr>
          <w:rFonts w:ascii="Times New Roman" w:hAnsi="Times New Roman"/>
          <w:b/>
          <w:bCs/>
          <w:i/>
          <w:iCs/>
          <w:sz w:val="28"/>
          <w:szCs w:val="28"/>
          <w:lang w:val="es-DO"/>
        </w:rPr>
        <w:t>începând cu anul fiscal următor celei în care proprietarul/proprietarii a fost/au  fost somat/</w:t>
      </w:r>
      <w:r w:rsidRPr="004D464B">
        <w:rPr>
          <w:rFonts w:ascii="Times New Roman" w:hAnsi="Times New Roman"/>
          <w:i/>
          <w:iCs/>
          <w:sz w:val="28"/>
          <w:szCs w:val="28"/>
          <w:lang w:val="es-DO"/>
        </w:rPr>
        <w:t>somați</w:t>
      </w:r>
      <w:r w:rsidRPr="004D464B">
        <w:rPr>
          <w:rFonts w:ascii="Times New Roman" w:hAnsi="Times New Roman"/>
          <w:sz w:val="28"/>
          <w:szCs w:val="28"/>
          <w:lang w:val="es-DO"/>
        </w:rPr>
        <w:t>. ”</w:t>
      </w:r>
      <w:r w:rsidR="005C40AA" w:rsidRPr="004D464B">
        <w:rPr>
          <w:rFonts w:ascii="Times New Roman" w:hAnsi="Times New Roman"/>
          <w:sz w:val="28"/>
          <w:szCs w:val="28"/>
          <w:lang w:val="es-DO"/>
        </w:rPr>
        <w:t>,</w:t>
      </w:r>
    </w:p>
    <w:p w14:paraId="19E13F11" w14:textId="3C29762E" w:rsidR="00AB45AE" w:rsidRPr="004D464B" w:rsidRDefault="005C40AA" w:rsidP="005C40AA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es-DO"/>
        </w:rPr>
      </w:pPr>
      <w:r w:rsidRPr="004D464B">
        <w:rPr>
          <w:rFonts w:ascii="Times New Roman" w:hAnsi="Times New Roman"/>
          <w:sz w:val="28"/>
          <w:szCs w:val="28"/>
          <w:lang w:val="es-DO"/>
        </w:rPr>
        <w:t>c</w:t>
      </w:r>
      <w:r w:rsidR="00AB45AE" w:rsidRPr="004D464B">
        <w:rPr>
          <w:rFonts w:ascii="Times New Roman" w:hAnsi="Times New Roman"/>
          <w:sz w:val="28"/>
          <w:szCs w:val="28"/>
          <w:lang w:val="es-DO"/>
        </w:rPr>
        <w:t>oroborat cu prevederile art.</w:t>
      </w:r>
      <w:r w:rsidRPr="004D464B">
        <w:rPr>
          <w:rFonts w:ascii="Times New Roman" w:hAnsi="Times New Roman"/>
          <w:sz w:val="28"/>
          <w:szCs w:val="28"/>
          <w:lang w:val="es-DO"/>
        </w:rPr>
        <w:t>110 din legea nr.207/2015 priovind Codul de Procedură Fiscală :</w:t>
      </w:r>
    </w:p>
    <w:p w14:paraId="7A234533" w14:textId="77777777" w:rsidR="005C40AA" w:rsidRPr="004D464B" w:rsidRDefault="005C40AA" w:rsidP="005C40AA">
      <w:pPr>
        <w:pStyle w:val="stilarticol"/>
        <w:spacing w:before="0" w:beforeAutospacing="0" w:after="0" w:afterAutospacing="0"/>
        <w:rPr>
          <w:rFonts w:eastAsiaTheme="minorHAnsi" w:cstheme="minorBidi"/>
          <w:i/>
          <w:iCs/>
          <w:sz w:val="28"/>
          <w:szCs w:val="28"/>
          <w:lang w:val="es-DO" w:eastAsia="en-US"/>
        </w:rPr>
      </w:pPr>
      <w:r w:rsidRPr="004D464B">
        <w:rPr>
          <w:rFonts w:eastAsiaTheme="minorHAnsi" w:cstheme="minorBidi"/>
          <w:i/>
          <w:iCs/>
          <w:sz w:val="28"/>
          <w:szCs w:val="28"/>
          <w:lang w:val="es-DO" w:eastAsia="en-US"/>
        </w:rPr>
        <w:t>“ART. 110 Obiectul, termenul și momentul de la care începe să curgă termenul de prescripție a dreptului de stabilire a creanțelor fiscale</w:t>
      </w:r>
    </w:p>
    <w:p w14:paraId="3622BFD9" w14:textId="77777777" w:rsidR="005C40AA" w:rsidRPr="004D464B" w:rsidRDefault="005C40AA" w:rsidP="005C40AA">
      <w:pPr>
        <w:pStyle w:val="stilparagraf"/>
        <w:spacing w:before="0" w:beforeAutospacing="0" w:after="0" w:afterAutospacing="0"/>
        <w:ind w:firstLine="375"/>
        <w:jc w:val="both"/>
        <w:rPr>
          <w:rFonts w:eastAsiaTheme="minorHAnsi" w:cstheme="minorBidi"/>
          <w:i/>
          <w:iCs/>
          <w:sz w:val="28"/>
          <w:szCs w:val="28"/>
          <w:lang w:val="es-DO" w:eastAsia="en-US"/>
        </w:rPr>
      </w:pPr>
      <w:r w:rsidRPr="004D464B">
        <w:rPr>
          <w:rFonts w:eastAsiaTheme="minorHAnsi" w:cstheme="minorBidi"/>
          <w:i/>
          <w:iCs/>
          <w:sz w:val="28"/>
          <w:szCs w:val="28"/>
          <w:lang w:val="es-DO" w:eastAsia="en-US"/>
        </w:rPr>
        <w:t>(1) Dreptul organului fiscal de a stabili creanțe fiscale se prescrie în termen de 5 ani, cu excepția cazului în care legea dispune altfel.</w:t>
      </w:r>
    </w:p>
    <w:p w14:paraId="3AA62C88" w14:textId="7510B8C8" w:rsidR="005C40AA" w:rsidRDefault="005C40AA" w:rsidP="005C40AA">
      <w:pPr>
        <w:pStyle w:val="stilparagraf"/>
        <w:spacing w:before="0" w:beforeAutospacing="0" w:after="0" w:afterAutospacing="0"/>
        <w:ind w:firstLine="375"/>
        <w:jc w:val="both"/>
        <w:rPr>
          <w:i/>
          <w:iCs/>
          <w:sz w:val="28"/>
          <w:szCs w:val="28"/>
        </w:rPr>
      </w:pPr>
      <w:r w:rsidRPr="004D464B">
        <w:rPr>
          <w:rFonts w:eastAsiaTheme="minorHAnsi" w:cstheme="minorBidi"/>
          <w:i/>
          <w:iCs/>
          <w:sz w:val="28"/>
          <w:szCs w:val="28"/>
          <w:lang w:val="es-DO" w:eastAsia="en-US"/>
        </w:rPr>
        <w:t>(2) Termenul de prescripție a dreptului prevăzut la alin. (1) începe să curgă de la data de 1 iulie a anului următor celui pentru care se datorează obligația fiscală, dacă legea nu dispune altfel.</w:t>
      </w:r>
      <w:r w:rsidRPr="005C40AA">
        <w:rPr>
          <w:i/>
          <w:iCs/>
          <w:sz w:val="28"/>
          <w:szCs w:val="28"/>
        </w:rPr>
        <w:t>”</w:t>
      </w:r>
      <w:r>
        <w:rPr>
          <w:i/>
          <w:iCs/>
          <w:sz w:val="28"/>
          <w:szCs w:val="28"/>
        </w:rPr>
        <w:t xml:space="preserve"> ,</w:t>
      </w:r>
    </w:p>
    <w:p w14:paraId="3216C582" w14:textId="7AF70439" w:rsidR="005C40AA" w:rsidRPr="005C40AA" w:rsidRDefault="005C40AA" w:rsidP="005C40AA">
      <w:pPr>
        <w:pStyle w:val="stilparagraf"/>
        <w:ind w:firstLine="375"/>
        <w:jc w:val="both"/>
        <w:rPr>
          <w:b/>
          <w:bCs/>
          <w:sz w:val="28"/>
          <w:szCs w:val="28"/>
        </w:rPr>
      </w:pPr>
      <w:r w:rsidRPr="005C40AA">
        <w:rPr>
          <w:b/>
          <w:bCs/>
          <w:sz w:val="28"/>
          <w:szCs w:val="28"/>
        </w:rPr>
        <w:t>consider</w:t>
      </w:r>
      <w:r w:rsidRPr="004D464B">
        <w:rPr>
          <w:b/>
          <w:bCs/>
          <w:sz w:val="28"/>
          <w:szCs w:val="28"/>
        </w:rPr>
        <w:t>ă</w:t>
      </w:r>
      <w:r w:rsidRPr="005C40AA">
        <w:rPr>
          <w:b/>
          <w:bCs/>
          <w:sz w:val="28"/>
          <w:szCs w:val="28"/>
        </w:rPr>
        <w:t>m c</w:t>
      </w:r>
      <w:r w:rsidR="005650C1">
        <w:rPr>
          <w:b/>
          <w:bCs/>
          <w:sz w:val="28"/>
          <w:szCs w:val="28"/>
        </w:rPr>
        <w:t>ă</w:t>
      </w:r>
      <w:r w:rsidRPr="005C40AA">
        <w:rPr>
          <w:b/>
          <w:bCs/>
          <w:sz w:val="28"/>
          <w:szCs w:val="28"/>
        </w:rPr>
        <w:t xml:space="preserve"> este aplicabil</w:t>
      </w:r>
      <w:r>
        <w:rPr>
          <w:b/>
          <w:bCs/>
          <w:sz w:val="28"/>
          <w:szCs w:val="28"/>
        </w:rPr>
        <w:t>ă</w:t>
      </w:r>
      <w:r w:rsidRPr="005C40AA">
        <w:rPr>
          <w:b/>
          <w:bCs/>
          <w:sz w:val="28"/>
          <w:szCs w:val="28"/>
        </w:rPr>
        <w:t xml:space="preserve"> majorarea </w:t>
      </w:r>
      <w:r w:rsidR="00825D28" w:rsidRPr="005C40AA">
        <w:rPr>
          <w:b/>
          <w:bCs/>
          <w:sz w:val="28"/>
          <w:szCs w:val="28"/>
        </w:rPr>
        <w:t>impozitului</w:t>
      </w:r>
      <w:r w:rsidRPr="005C40AA">
        <w:rPr>
          <w:b/>
          <w:bCs/>
          <w:sz w:val="28"/>
          <w:szCs w:val="28"/>
        </w:rPr>
        <w:t xml:space="preserve"> pe clădiri pentru cl</w:t>
      </w:r>
      <w:r w:rsidR="005650C1">
        <w:rPr>
          <w:b/>
          <w:bCs/>
          <w:sz w:val="28"/>
          <w:szCs w:val="28"/>
        </w:rPr>
        <w:t>ă</w:t>
      </w:r>
      <w:r w:rsidRPr="005C40AA">
        <w:rPr>
          <w:b/>
          <w:bCs/>
          <w:sz w:val="28"/>
          <w:szCs w:val="28"/>
        </w:rPr>
        <w:t xml:space="preserve">dirile din anexele 2 </w:t>
      </w:r>
      <w:r w:rsidR="005650C1">
        <w:rPr>
          <w:b/>
          <w:bCs/>
          <w:sz w:val="28"/>
          <w:szCs w:val="28"/>
        </w:rPr>
        <w:t>ș</w:t>
      </w:r>
      <w:r w:rsidRPr="005C40AA">
        <w:rPr>
          <w:b/>
          <w:bCs/>
          <w:sz w:val="28"/>
          <w:szCs w:val="28"/>
        </w:rPr>
        <w:t>i 3 la proiectul de hot</w:t>
      </w:r>
      <w:r w:rsidR="005650C1">
        <w:rPr>
          <w:b/>
          <w:bCs/>
          <w:sz w:val="28"/>
          <w:szCs w:val="28"/>
        </w:rPr>
        <w:t>ă</w:t>
      </w:r>
      <w:r w:rsidRPr="005C40AA">
        <w:rPr>
          <w:b/>
          <w:bCs/>
          <w:sz w:val="28"/>
          <w:szCs w:val="28"/>
        </w:rPr>
        <w:t>r</w:t>
      </w:r>
      <w:r w:rsidR="005650C1">
        <w:rPr>
          <w:b/>
          <w:bCs/>
          <w:sz w:val="28"/>
          <w:szCs w:val="28"/>
        </w:rPr>
        <w:t>â</w:t>
      </w:r>
      <w:r w:rsidRPr="005C40AA">
        <w:rPr>
          <w:b/>
          <w:bCs/>
          <w:sz w:val="28"/>
          <w:szCs w:val="28"/>
        </w:rPr>
        <w:t xml:space="preserve">re </w:t>
      </w:r>
      <w:r>
        <w:rPr>
          <w:b/>
          <w:bCs/>
          <w:sz w:val="28"/>
          <w:szCs w:val="28"/>
        </w:rPr>
        <w:t xml:space="preserve">, </w:t>
      </w:r>
      <w:r w:rsidR="005650C1" w:rsidRPr="004D464B">
        <w:rPr>
          <w:b/>
          <w:bCs/>
          <w:sz w:val="28"/>
          <w:szCs w:val="28"/>
        </w:rPr>
        <w:t>î</w:t>
      </w:r>
      <w:r>
        <w:rPr>
          <w:b/>
          <w:bCs/>
          <w:sz w:val="28"/>
          <w:szCs w:val="28"/>
        </w:rPr>
        <w:t>ncep</w:t>
      </w:r>
      <w:r w:rsidR="005650C1">
        <w:rPr>
          <w:b/>
          <w:bCs/>
          <w:sz w:val="28"/>
          <w:szCs w:val="28"/>
        </w:rPr>
        <w:t>â</w:t>
      </w:r>
      <w:r>
        <w:rPr>
          <w:b/>
          <w:bCs/>
          <w:sz w:val="28"/>
          <w:szCs w:val="28"/>
        </w:rPr>
        <w:t>nd cu anul 202</w:t>
      </w:r>
      <w:r w:rsidR="00034A8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034A83">
        <w:rPr>
          <w:b/>
          <w:bCs/>
          <w:sz w:val="28"/>
          <w:szCs w:val="28"/>
        </w:rPr>
        <w:t>respectiv 2023</w:t>
      </w:r>
      <w:r>
        <w:rPr>
          <w:b/>
          <w:bCs/>
          <w:sz w:val="28"/>
          <w:szCs w:val="28"/>
        </w:rPr>
        <w:t>.</w:t>
      </w:r>
    </w:p>
    <w:p w14:paraId="518C6357" w14:textId="1A99649E" w:rsidR="007404EE" w:rsidRPr="004D464B" w:rsidRDefault="005C40AA" w:rsidP="005C40A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es-DO"/>
        </w:rPr>
      </w:pPr>
      <w:r w:rsidRPr="004D464B">
        <w:rPr>
          <w:rFonts w:ascii="Times New Roman" w:hAnsi="Times New Roman"/>
          <w:sz w:val="28"/>
          <w:szCs w:val="28"/>
          <w:lang w:val="es-DO"/>
        </w:rPr>
        <w:t>A</w:t>
      </w:r>
      <w:r w:rsidR="007404EE" w:rsidRPr="004D464B">
        <w:rPr>
          <w:rFonts w:ascii="Times New Roman" w:hAnsi="Times New Roman"/>
          <w:sz w:val="28"/>
          <w:szCs w:val="28"/>
          <w:lang w:val="es-DO"/>
        </w:rPr>
        <w:t xml:space="preserve">ceste sume nu </w:t>
      </w:r>
      <w:r w:rsidR="00034A83" w:rsidRPr="004D464B">
        <w:rPr>
          <w:rFonts w:ascii="Times New Roman" w:hAnsi="Times New Roman"/>
          <w:sz w:val="28"/>
          <w:szCs w:val="28"/>
          <w:lang w:val="es-DO"/>
        </w:rPr>
        <w:t>au</w:t>
      </w:r>
      <w:r w:rsidR="007404EE" w:rsidRPr="004D464B">
        <w:rPr>
          <w:rFonts w:ascii="Times New Roman" w:hAnsi="Times New Roman"/>
          <w:sz w:val="28"/>
          <w:szCs w:val="28"/>
          <w:lang w:val="es-DO"/>
        </w:rPr>
        <w:t xml:space="preserve"> un impact semnificativ în ceea ce privește cuantumul impozitelor încasate la bugetul local, 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 xml:space="preserve">ci </w:t>
      </w:r>
      <w:r w:rsidR="007404EE" w:rsidRPr="004D464B">
        <w:rPr>
          <w:rFonts w:ascii="Times New Roman" w:hAnsi="Times New Roman"/>
          <w:sz w:val="28"/>
          <w:szCs w:val="28"/>
          <w:lang w:val="es-DO"/>
        </w:rPr>
        <w:t>unul de determinare a proprietarilor s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>ă</w:t>
      </w:r>
      <w:r w:rsidR="007404EE" w:rsidRPr="004D464B">
        <w:rPr>
          <w:rFonts w:ascii="Times New Roman" w:hAnsi="Times New Roman"/>
          <w:sz w:val="28"/>
          <w:szCs w:val="28"/>
          <w:lang w:val="es-DO"/>
        </w:rPr>
        <w:t xml:space="preserve"> procedeze la întreținerea imobilelor pe care le au în proprietate.</w:t>
      </w:r>
    </w:p>
    <w:p w14:paraId="52BE8AFC" w14:textId="76F848F5" w:rsidR="007404EE" w:rsidRPr="004D464B" w:rsidRDefault="007404EE" w:rsidP="005C40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s-DO"/>
        </w:rPr>
      </w:pPr>
      <w:r w:rsidRPr="004D464B">
        <w:rPr>
          <w:rFonts w:ascii="Times New Roman" w:hAnsi="Times New Roman"/>
          <w:sz w:val="28"/>
          <w:szCs w:val="28"/>
          <w:lang w:val="es-DO"/>
        </w:rPr>
        <w:t>Totodat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>ă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 în urma verificărilor efectuate de către </w:t>
      </w:r>
      <w:r w:rsidRPr="004D464B">
        <w:rPr>
          <w:rFonts w:ascii="Times New Roman" w:eastAsia="Times New Roman" w:hAnsi="Times New Roman"/>
          <w:sz w:val="28"/>
          <w:szCs w:val="28"/>
          <w:lang w:val="es-DO"/>
        </w:rPr>
        <w:t>Comisia de identificare a cl</w:t>
      </w:r>
      <w:r w:rsidRPr="009C7B86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4D464B">
        <w:rPr>
          <w:rFonts w:ascii="Times New Roman" w:eastAsia="Times New Roman" w:hAnsi="Times New Roman"/>
          <w:sz w:val="28"/>
          <w:szCs w:val="28"/>
          <w:lang w:val="es-DO"/>
        </w:rPr>
        <w:t>dirilor neîngrijite situate în intravilanul municipiului Satu Mare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  pentru un num</w:t>
      </w:r>
      <w:r w:rsidR="002F0580" w:rsidRPr="004D464B">
        <w:rPr>
          <w:rFonts w:ascii="Times New Roman" w:hAnsi="Times New Roman"/>
          <w:sz w:val="28"/>
          <w:szCs w:val="28"/>
          <w:lang w:val="es-DO"/>
        </w:rPr>
        <w:t>ă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r de </w:t>
      </w:r>
      <w:r w:rsidR="00034A83" w:rsidRPr="004D464B">
        <w:rPr>
          <w:rFonts w:ascii="Times New Roman" w:hAnsi="Times New Roman"/>
          <w:sz w:val="28"/>
          <w:szCs w:val="28"/>
          <w:lang w:val="es-DO"/>
        </w:rPr>
        <w:t>116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 </w:t>
      </w:r>
      <w:r w:rsidR="00034A83" w:rsidRPr="004D464B">
        <w:rPr>
          <w:rFonts w:ascii="Times New Roman" w:hAnsi="Times New Roman"/>
          <w:sz w:val="28"/>
          <w:szCs w:val="28"/>
          <w:lang w:val="es-DO"/>
        </w:rPr>
        <w:t xml:space="preserve">imobile 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 s-a luat m</w:t>
      </w:r>
      <w:r w:rsidR="002B2506" w:rsidRPr="004D464B">
        <w:rPr>
          <w:rFonts w:ascii="Times New Roman" w:hAnsi="Times New Roman"/>
          <w:sz w:val="28"/>
          <w:szCs w:val="28"/>
          <w:lang w:val="es-DO"/>
        </w:rPr>
        <w:t>ă</w:t>
      </w:r>
      <w:r w:rsidRPr="004D464B">
        <w:rPr>
          <w:rFonts w:ascii="Times New Roman" w:hAnsi="Times New Roman"/>
          <w:sz w:val="28"/>
          <w:szCs w:val="28"/>
          <w:lang w:val="es-DO"/>
        </w:rPr>
        <w:t>sura except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>ă</w:t>
      </w:r>
      <w:r w:rsidRPr="004D464B">
        <w:rPr>
          <w:rFonts w:ascii="Times New Roman" w:hAnsi="Times New Roman"/>
          <w:sz w:val="28"/>
          <w:szCs w:val="28"/>
          <w:lang w:val="es-DO"/>
        </w:rPr>
        <w:t>rii de la aplicarea supraimpozit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>ă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rii de 500% ca urmare a 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>î</w:t>
      </w:r>
      <w:r w:rsidRPr="004D464B">
        <w:rPr>
          <w:rFonts w:ascii="Times New Roman" w:hAnsi="Times New Roman"/>
          <w:sz w:val="28"/>
          <w:szCs w:val="28"/>
          <w:lang w:val="es-DO"/>
        </w:rPr>
        <w:t>ndeplinirii condi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>ț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iilor precizate 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>î</w:t>
      </w:r>
      <w:r w:rsidRPr="004D464B">
        <w:rPr>
          <w:rFonts w:ascii="Times New Roman" w:hAnsi="Times New Roman"/>
          <w:sz w:val="28"/>
          <w:szCs w:val="28"/>
          <w:lang w:val="es-DO"/>
        </w:rPr>
        <w:t>n H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>.</w:t>
      </w:r>
      <w:r w:rsidRPr="004D464B">
        <w:rPr>
          <w:rFonts w:ascii="Times New Roman" w:hAnsi="Times New Roman"/>
          <w:sz w:val="28"/>
          <w:szCs w:val="28"/>
          <w:lang w:val="es-DO"/>
        </w:rPr>
        <w:t>C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>.</w:t>
      </w:r>
      <w:r w:rsidRPr="004D464B">
        <w:rPr>
          <w:rFonts w:ascii="Times New Roman" w:hAnsi="Times New Roman"/>
          <w:sz w:val="28"/>
          <w:szCs w:val="28"/>
          <w:lang w:val="es-DO"/>
        </w:rPr>
        <w:t>L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 xml:space="preserve">. Satu Mare 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 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 xml:space="preserve">nr. </w:t>
      </w:r>
      <w:r w:rsidRPr="004D464B">
        <w:rPr>
          <w:rFonts w:ascii="Times New Roman" w:hAnsi="Times New Roman"/>
          <w:sz w:val="28"/>
          <w:szCs w:val="28"/>
          <w:lang w:val="es-DO"/>
        </w:rPr>
        <w:t>207/2021 privind aprobarea Regulamentului de stabilire a criteriilor de identificare a clădirilor şi terenurilor neîngrijite situate în intravilanul Municipiului Satu Mare</w:t>
      </w:r>
      <w:r w:rsidR="00EE14D9" w:rsidRPr="004D464B">
        <w:rPr>
          <w:rFonts w:ascii="Times New Roman" w:hAnsi="Times New Roman"/>
          <w:sz w:val="28"/>
          <w:szCs w:val="28"/>
          <w:lang w:val="es-DO"/>
        </w:rPr>
        <w:t>. Ace</w:t>
      </w:r>
      <w:r w:rsidR="0068559E" w:rsidRPr="004D464B">
        <w:rPr>
          <w:rFonts w:ascii="Times New Roman" w:hAnsi="Times New Roman"/>
          <w:sz w:val="28"/>
          <w:szCs w:val="28"/>
          <w:lang w:val="es-DO"/>
        </w:rPr>
        <w:t>ș</w:t>
      </w:r>
      <w:r w:rsidR="00EE14D9" w:rsidRPr="004D464B">
        <w:rPr>
          <w:rFonts w:ascii="Times New Roman" w:hAnsi="Times New Roman"/>
          <w:sz w:val="28"/>
          <w:szCs w:val="28"/>
          <w:lang w:val="es-DO"/>
        </w:rPr>
        <w:t>tia se reg</w:t>
      </w:r>
      <w:r w:rsidR="0068559E" w:rsidRPr="004D464B">
        <w:rPr>
          <w:rFonts w:ascii="Times New Roman" w:hAnsi="Times New Roman"/>
          <w:sz w:val="28"/>
          <w:szCs w:val="28"/>
          <w:lang w:val="es-DO"/>
        </w:rPr>
        <w:t>ă</w:t>
      </w:r>
      <w:r w:rsidR="00EE14D9" w:rsidRPr="004D464B">
        <w:rPr>
          <w:rFonts w:ascii="Times New Roman" w:hAnsi="Times New Roman"/>
          <w:sz w:val="28"/>
          <w:szCs w:val="28"/>
          <w:lang w:val="es-DO"/>
        </w:rPr>
        <w:t xml:space="preserve">sesc </w:t>
      </w:r>
      <w:r w:rsidR="0068559E" w:rsidRPr="004D464B">
        <w:rPr>
          <w:rFonts w:ascii="Times New Roman" w:hAnsi="Times New Roman"/>
          <w:sz w:val="28"/>
          <w:szCs w:val="28"/>
          <w:lang w:val="es-DO"/>
        </w:rPr>
        <w:t>î</w:t>
      </w:r>
      <w:r w:rsidR="00EE14D9" w:rsidRPr="004D464B">
        <w:rPr>
          <w:rFonts w:ascii="Times New Roman" w:hAnsi="Times New Roman"/>
          <w:sz w:val="28"/>
          <w:szCs w:val="28"/>
          <w:lang w:val="es-DO"/>
        </w:rPr>
        <w:t xml:space="preserve">n </w:t>
      </w:r>
      <w:r w:rsidR="0068559E" w:rsidRPr="004D464B">
        <w:rPr>
          <w:rFonts w:ascii="Times New Roman" w:hAnsi="Times New Roman"/>
          <w:sz w:val="28"/>
          <w:szCs w:val="28"/>
          <w:lang w:val="es-DO"/>
        </w:rPr>
        <w:t>A</w:t>
      </w:r>
      <w:r w:rsidR="00EE14D9" w:rsidRPr="004D464B">
        <w:rPr>
          <w:rFonts w:ascii="Times New Roman" w:hAnsi="Times New Roman"/>
          <w:sz w:val="28"/>
          <w:szCs w:val="28"/>
          <w:lang w:val="es-DO"/>
        </w:rPr>
        <w:t>nexele nr.</w:t>
      </w:r>
      <w:r w:rsidR="00AB45AE" w:rsidRPr="004D464B">
        <w:rPr>
          <w:rFonts w:ascii="Times New Roman" w:hAnsi="Times New Roman"/>
          <w:sz w:val="28"/>
          <w:szCs w:val="28"/>
          <w:lang w:val="es-DO"/>
        </w:rPr>
        <w:t>4-</w:t>
      </w:r>
      <w:r w:rsidR="00034A83" w:rsidRPr="004D464B">
        <w:rPr>
          <w:rFonts w:ascii="Times New Roman" w:hAnsi="Times New Roman"/>
          <w:sz w:val="28"/>
          <w:szCs w:val="28"/>
          <w:lang w:val="es-DO"/>
        </w:rPr>
        <w:t>8</w:t>
      </w:r>
      <w:r w:rsidR="002B2506" w:rsidRPr="004D464B">
        <w:rPr>
          <w:rFonts w:ascii="Times New Roman" w:hAnsi="Times New Roman"/>
          <w:sz w:val="28"/>
          <w:szCs w:val="28"/>
          <w:lang w:val="es-DO"/>
        </w:rPr>
        <w:t>.</w:t>
      </w:r>
    </w:p>
    <w:p w14:paraId="3E7B5640" w14:textId="5C310DC0" w:rsidR="007404EE" w:rsidRPr="004D464B" w:rsidRDefault="00C70D85" w:rsidP="005C40AA">
      <w:pPr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  <w:lang w:val="es-DO"/>
        </w:rPr>
      </w:pPr>
      <w:r w:rsidRPr="004D464B">
        <w:rPr>
          <w:rFonts w:ascii="Times New Roman" w:hAnsi="Times New Roman"/>
          <w:sz w:val="28"/>
          <w:szCs w:val="28"/>
          <w:lang w:val="es-DO"/>
        </w:rPr>
        <w:lastRenderedPageBreak/>
        <w:t>Analiz</w:t>
      </w:r>
      <w:r w:rsidR="002F0580" w:rsidRPr="004D464B">
        <w:rPr>
          <w:rFonts w:ascii="Times New Roman" w:hAnsi="Times New Roman"/>
          <w:sz w:val="28"/>
          <w:szCs w:val="28"/>
          <w:lang w:val="es-DO"/>
        </w:rPr>
        <w:t>â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nd Nota </w:t>
      </w:r>
      <w:r w:rsidR="005C40AA" w:rsidRPr="004D464B">
        <w:rPr>
          <w:rFonts w:ascii="Times New Roman" w:hAnsi="Times New Roman"/>
          <w:sz w:val="28"/>
          <w:szCs w:val="28"/>
          <w:lang w:val="es-DO"/>
        </w:rPr>
        <w:t>I</w:t>
      </w:r>
      <w:r w:rsidRPr="004D464B">
        <w:rPr>
          <w:rFonts w:ascii="Times New Roman" w:hAnsi="Times New Roman"/>
          <w:sz w:val="28"/>
          <w:szCs w:val="28"/>
          <w:lang w:val="es-DO"/>
        </w:rPr>
        <w:t>ntern</w:t>
      </w:r>
      <w:r w:rsidR="002F0580" w:rsidRPr="004D464B">
        <w:rPr>
          <w:rFonts w:ascii="Times New Roman" w:hAnsi="Times New Roman"/>
          <w:sz w:val="28"/>
          <w:szCs w:val="28"/>
          <w:lang w:val="es-DO"/>
        </w:rPr>
        <w:t>ă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 nr. </w:t>
      </w:r>
      <w:r w:rsidR="00034A83" w:rsidRPr="004D464B">
        <w:rPr>
          <w:rFonts w:ascii="Times New Roman" w:hAnsi="Times New Roman"/>
          <w:sz w:val="28"/>
          <w:szCs w:val="28"/>
          <w:lang w:val="es-DO"/>
        </w:rPr>
        <w:t xml:space="preserve">69992/10.12.2024 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pentru comunicarea Procesului verbal </w:t>
      </w:r>
      <w:r w:rsidR="00C33F49" w:rsidRPr="004D464B">
        <w:rPr>
          <w:rFonts w:ascii="Times New Roman" w:hAnsi="Times New Roman"/>
          <w:sz w:val="28"/>
          <w:szCs w:val="28"/>
          <w:lang w:val="es-DO"/>
        </w:rPr>
        <w:t>ș</w:t>
      </w:r>
      <w:r w:rsidRPr="004D464B">
        <w:rPr>
          <w:rFonts w:ascii="Times New Roman" w:hAnsi="Times New Roman"/>
          <w:sz w:val="28"/>
          <w:szCs w:val="28"/>
          <w:lang w:val="es-DO"/>
        </w:rPr>
        <w:t>i anexe</w:t>
      </w:r>
      <w:r w:rsidR="002B2506" w:rsidRPr="004D464B">
        <w:rPr>
          <w:rFonts w:ascii="Times New Roman" w:hAnsi="Times New Roman"/>
          <w:sz w:val="28"/>
          <w:szCs w:val="28"/>
          <w:lang w:val="es-DO"/>
        </w:rPr>
        <w:t>le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 aferente, </w:t>
      </w:r>
      <w:r w:rsidR="00C33F49" w:rsidRPr="004D464B">
        <w:rPr>
          <w:rFonts w:ascii="Times New Roman" w:hAnsi="Times New Roman"/>
          <w:sz w:val="28"/>
          <w:szCs w:val="28"/>
          <w:lang w:val="es-DO"/>
        </w:rPr>
        <w:t>î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ntocmită de către Biroul </w:t>
      </w:r>
      <w:r w:rsidR="005650C1" w:rsidRPr="004D464B">
        <w:rPr>
          <w:rFonts w:ascii="Times New Roman" w:hAnsi="Times New Roman"/>
          <w:sz w:val="28"/>
          <w:szCs w:val="28"/>
          <w:lang w:val="es-DO"/>
        </w:rPr>
        <w:t>F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inalizări </w:t>
      </w:r>
      <w:r w:rsidR="005650C1" w:rsidRPr="004D464B">
        <w:rPr>
          <w:rFonts w:ascii="Times New Roman" w:hAnsi="Times New Roman"/>
          <w:sz w:val="28"/>
          <w:szCs w:val="28"/>
          <w:lang w:val="es-DO"/>
        </w:rPr>
        <w:t>C</w:t>
      </w:r>
      <w:r w:rsidRPr="004D464B">
        <w:rPr>
          <w:rFonts w:ascii="Times New Roman" w:hAnsi="Times New Roman"/>
          <w:sz w:val="28"/>
          <w:szCs w:val="28"/>
          <w:lang w:val="es-DO"/>
        </w:rPr>
        <w:t>onstruc</w:t>
      </w:r>
      <w:r w:rsidR="00C33F49" w:rsidRPr="004D464B">
        <w:rPr>
          <w:rFonts w:ascii="Times New Roman" w:hAnsi="Times New Roman"/>
          <w:sz w:val="28"/>
          <w:szCs w:val="28"/>
          <w:lang w:val="es-DO"/>
        </w:rPr>
        <w:t>ț</w:t>
      </w:r>
      <w:r w:rsidRPr="004D464B">
        <w:rPr>
          <w:rFonts w:ascii="Times New Roman" w:hAnsi="Times New Roman"/>
          <w:sz w:val="28"/>
          <w:szCs w:val="28"/>
          <w:lang w:val="es-DO"/>
        </w:rPr>
        <w:t>ii din cadrul Prim</w:t>
      </w:r>
      <w:r w:rsidR="00C33F49" w:rsidRPr="004D464B">
        <w:rPr>
          <w:rFonts w:ascii="Times New Roman" w:hAnsi="Times New Roman"/>
          <w:sz w:val="28"/>
          <w:szCs w:val="28"/>
          <w:lang w:val="es-DO"/>
        </w:rPr>
        <w:t>ă</w:t>
      </w:r>
      <w:r w:rsidRPr="004D464B">
        <w:rPr>
          <w:rFonts w:ascii="Times New Roman" w:hAnsi="Times New Roman"/>
          <w:sz w:val="28"/>
          <w:szCs w:val="28"/>
          <w:lang w:val="es-DO"/>
        </w:rPr>
        <w:t>rie</w:t>
      </w:r>
      <w:r w:rsidR="00C33F49" w:rsidRPr="004D464B">
        <w:rPr>
          <w:rFonts w:ascii="Times New Roman" w:hAnsi="Times New Roman"/>
          <w:sz w:val="28"/>
          <w:szCs w:val="28"/>
          <w:lang w:val="es-DO"/>
        </w:rPr>
        <w:t>i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 Municipiul Satu Mare prin care se comunică imobilele care intră sub incidența prevederilor art.489 din Legea nr.227/2015 privind Codul fiscal (anexele de la 1-</w:t>
      </w:r>
      <w:r w:rsidR="005C40AA" w:rsidRPr="004D464B">
        <w:rPr>
          <w:rFonts w:ascii="Times New Roman" w:hAnsi="Times New Roman"/>
          <w:sz w:val="28"/>
          <w:szCs w:val="28"/>
          <w:lang w:val="es-DO"/>
        </w:rPr>
        <w:t>3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 la proiectul de hot</w:t>
      </w:r>
      <w:r w:rsidR="002B2506" w:rsidRPr="004D464B">
        <w:rPr>
          <w:rFonts w:ascii="Times New Roman" w:hAnsi="Times New Roman"/>
          <w:sz w:val="28"/>
          <w:szCs w:val="28"/>
          <w:lang w:val="es-DO"/>
        </w:rPr>
        <w:t>ă</w:t>
      </w:r>
      <w:r w:rsidRPr="004D464B">
        <w:rPr>
          <w:rFonts w:ascii="Times New Roman" w:hAnsi="Times New Roman"/>
          <w:sz w:val="28"/>
          <w:szCs w:val="28"/>
          <w:lang w:val="es-DO"/>
        </w:rPr>
        <w:t>r</w:t>
      </w:r>
      <w:r w:rsidR="002B2506" w:rsidRPr="004D464B">
        <w:rPr>
          <w:rFonts w:ascii="Times New Roman" w:hAnsi="Times New Roman"/>
          <w:sz w:val="28"/>
          <w:szCs w:val="28"/>
          <w:lang w:val="es-DO"/>
        </w:rPr>
        <w:t>â</w:t>
      </w:r>
      <w:r w:rsidRPr="004D464B">
        <w:rPr>
          <w:rFonts w:ascii="Times New Roman" w:hAnsi="Times New Roman"/>
          <w:sz w:val="28"/>
          <w:szCs w:val="28"/>
          <w:lang w:val="es-DO"/>
        </w:rPr>
        <w:t>re) , precum și al acelor cărora nu li se va mai aplica majorarea de impozit încep</w:t>
      </w:r>
      <w:r w:rsidR="002F0580" w:rsidRPr="004D464B">
        <w:rPr>
          <w:rFonts w:ascii="Times New Roman" w:hAnsi="Times New Roman"/>
          <w:sz w:val="28"/>
          <w:szCs w:val="28"/>
          <w:lang w:val="es-DO"/>
        </w:rPr>
        <w:t>â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nd cu anul 2024 (anexele </w:t>
      </w:r>
      <w:r w:rsidR="005C40AA" w:rsidRPr="004D464B">
        <w:rPr>
          <w:rFonts w:ascii="Times New Roman" w:hAnsi="Times New Roman"/>
          <w:sz w:val="28"/>
          <w:szCs w:val="28"/>
          <w:lang w:val="es-DO"/>
        </w:rPr>
        <w:t>4</w:t>
      </w:r>
      <w:r w:rsidRPr="004D464B">
        <w:rPr>
          <w:rFonts w:ascii="Times New Roman" w:hAnsi="Times New Roman"/>
          <w:sz w:val="28"/>
          <w:szCs w:val="28"/>
          <w:lang w:val="es-DO"/>
        </w:rPr>
        <w:t>-</w:t>
      </w:r>
      <w:r w:rsidR="00034A83" w:rsidRPr="004D464B">
        <w:rPr>
          <w:rFonts w:ascii="Times New Roman" w:hAnsi="Times New Roman"/>
          <w:sz w:val="28"/>
          <w:szCs w:val="28"/>
          <w:lang w:val="es-DO"/>
        </w:rPr>
        <w:t>8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 la proiect)</w:t>
      </w:r>
      <w:r w:rsidR="007404EE" w:rsidRPr="004D464B">
        <w:rPr>
          <w:rFonts w:ascii="Times New Roman" w:hAnsi="Times New Roman"/>
          <w:sz w:val="28"/>
          <w:szCs w:val="28"/>
          <w:lang w:val="es-DO"/>
        </w:rPr>
        <w:t>, Direcția Impozite și Taxe Locale Satu Mare susține propunerea inițiatorului proiectului, de majorare cu 500% a impozitului pe clădiri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 xml:space="preserve">, </w:t>
      </w:r>
      <w:r w:rsidR="007404EE" w:rsidRPr="004D464B">
        <w:rPr>
          <w:rFonts w:ascii="Times New Roman" w:hAnsi="Times New Roman"/>
          <w:sz w:val="28"/>
          <w:szCs w:val="28"/>
          <w:lang w:val="es-DO"/>
        </w:rPr>
        <w:t xml:space="preserve"> respectiv a except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>ă</w:t>
      </w:r>
      <w:r w:rsidR="007404EE" w:rsidRPr="004D464B">
        <w:rPr>
          <w:rFonts w:ascii="Times New Roman" w:hAnsi="Times New Roman"/>
          <w:sz w:val="28"/>
          <w:szCs w:val="28"/>
          <w:lang w:val="es-DO"/>
        </w:rPr>
        <w:t>rii de la aplicarea supraimpozit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>ă</w:t>
      </w:r>
      <w:r w:rsidR="007404EE" w:rsidRPr="004D464B">
        <w:rPr>
          <w:rFonts w:ascii="Times New Roman" w:hAnsi="Times New Roman"/>
          <w:sz w:val="28"/>
          <w:szCs w:val="28"/>
          <w:lang w:val="es-DO"/>
        </w:rPr>
        <w:t>rii, în cazurile cuprinse în anexele hotărârii analizate.</w:t>
      </w:r>
    </w:p>
    <w:p w14:paraId="0631D92A" w14:textId="77777777" w:rsidR="00701E08" w:rsidRPr="004D464B" w:rsidRDefault="00701E08" w:rsidP="005C40AA">
      <w:pPr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  <w:lang w:val="es-DO"/>
        </w:rPr>
      </w:pPr>
    </w:p>
    <w:p w14:paraId="54524283" w14:textId="33D56E99" w:rsidR="00701E08" w:rsidRPr="004D464B" w:rsidRDefault="005C40AA" w:rsidP="005C40AA">
      <w:pPr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  <w:lang w:val="es-DO"/>
        </w:rPr>
      </w:pPr>
      <w:r w:rsidRPr="004D464B">
        <w:rPr>
          <w:rFonts w:ascii="Times New Roman" w:hAnsi="Times New Roman"/>
          <w:sz w:val="28"/>
          <w:szCs w:val="28"/>
          <w:lang w:val="es-DO"/>
        </w:rPr>
        <w:t xml:space="preserve">În acest moment, </w:t>
      </w:r>
      <w:r w:rsidR="00701E08" w:rsidRPr="004D464B">
        <w:rPr>
          <w:rFonts w:ascii="Times New Roman" w:hAnsi="Times New Roman"/>
          <w:sz w:val="28"/>
          <w:szCs w:val="28"/>
          <w:lang w:val="es-DO"/>
        </w:rPr>
        <w:t xml:space="preserve"> anter</w:t>
      </w:r>
      <w:r w:rsidR="00A423CF" w:rsidRPr="004D464B">
        <w:rPr>
          <w:rFonts w:ascii="Times New Roman" w:hAnsi="Times New Roman"/>
          <w:sz w:val="28"/>
          <w:szCs w:val="28"/>
          <w:lang w:val="es-DO"/>
        </w:rPr>
        <w:t>i</w:t>
      </w:r>
      <w:r w:rsidR="00701E08" w:rsidRPr="004D464B">
        <w:rPr>
          <w:rFonts w:ascii="Times New Roman" w:hAnsi="Times New Roman"/>
          <w:sz w:val="28"/>
          <w:szCs w:val="28"/>
          <w:lang w:val="es-DO"/>
        </w:rPr>
        <w:t xml:space="preserve">or adoptării proiectului de hotărâre sunt impozitate cu impozit majorat un număr de </w:t>
      </w:r>
      <w:r w:rsidR="00034A83" w:rsidRPr="004D464B">
        <w:rPr>
          <w:rFonts w:ascii="Times New Roman" w:hAnsi="Times New Roman"/>
          <w:sz w:val="28"/>
          <w:szCs w:val="28"/>
          <w:lang w:val="es-DO"/>
        </w:rPr>
        <w:t>215</w:t>
      </w:r>
      <w:r w:rsidR="00701E08" w:rsidRPr="004D464B">
        <w:rPr>
          <w:rFonts w:ascii="Times New Roman" w:hAnsi="Times New Roman"/>
          <w:sz w:val="28"/>
          <w:szCs w:val="28"/>
          <w:lang w:val="es-DO"/>
        </w:rPr>
        <w:t xml:space="preserve"> imobile apraținând persoanelor fizice </w:t>
      </w:r>
      <w:r w:rsidR="002B2506" w:rsidRPr="004D464B">
        <w:rPr>
          <w:rFonts w:ascii="Times New Roman" w:hAnsi="Times New Roman"/>
          <w:sz w:val="28"/>
          <w:szCs w:val="28"/>
          <w:lang w:val="es-DO"/>
        </w:rPr>
        <w:t>î</w:t>
      </w:r>
      <w:r w:rsidR="00701E08" w:rsidRPr="004D464B">
        <w:rPr>
          <w:rFonts w:ascii="Times New Roman" w:hAnsi="Times New Roman"/>
          <w:sz w:val="28"/>
          <w:szCs w:val="28"/>
          <w:lang w:val="es-DO"/>
        </w:rPr>
        <w:t xml:space="preserve">nsumând  impozite de </w:t>
      </w:r>
      <w:r w:rsidR="00034A83" w:rsidRPr="004D464B">
        <w:rPr>
          <w:rFonts w:ascii="Times New Roman" w:hAnsi="Times New Roman"/>
          <w:sz w:val="28"/>
          <w:szCs w:val="28"/>
          <w:lang w:val="es-DO"/>
        </w:rPr>
        <w:t>281.076</w:t>
      </w:r>
      <w:r w:rsidR="00701E08" w:rsidRPr="004D464B">
        <w:rPr>
          <w:rFonts w:ascii="Times New Roman" w:hAnsi="Times New Roman"/>
          <w:sz w:val="28"/>
          <w:szCs w:val="28"/>
          <w:lang w:val="es-DO"/>
        </w:rPr>
        <w:t xml:space="preserve"> lei  și </w:t>
      </w:r>
      <w:r w:rsidR="00034A83" w:rsidRPr="004D464B">
        <w:rPr>
          <w:rFonts w:ascii="Times New Roman" w:hAnsi="Times New Roman"/>
          <w:sz w:val="28"/>
          <w:szCs w:val="28"/>
          <w:lang w:val="es-DO"/>
        </w:rPr>
        <w:t>40</w:t>
      </w:r>
      <w:r w:rsidR="00701E08" w:rsidRPr="004D464B">
        <w:rPr>
          <w:rFonts w:ascii="Times New Roman" w:hAnsi="Times New Roman"/>
          <w:sz w:val="28"/>
          <w:szCs w:val="28"/>
          <w:lang w:val="es-DO"/>
        </w:rPr>
        <w:t xml:space="preserve"> aparținând persoanelor juridice însumând impozite de </w:t>
      </w:r>
      <w:r w:rsidR="00034A83" w:rsidRPr="004D464B">
        <w:rPr>
          <w:rFonts w:ascii="Times New Roman" w:hAnsi="Times New Roman"/>
          <w:sz w:val="28"/>
          <w:szCs w:val="28"/>
          <w:lang w:val="es-DO"/>
        </w:rPr>
        <w:t>810.844</w:t>
      </w:r>
      <w:r w:rsidR="00701E08" w:rsidRPr="004D464B">
        <w:rPr>
          <w:rFonts w:ascii="Times New Roman" w:hAnsi="Times New Roman"/>
          <w:sz w:val="28"/>
          <w:szCs w:val="28"/>
          <w:lang w:val="es-DO"/>
        </w:rPr>
        <w:t xml:space="preserve"> lei.</w:t>
      </w:r>
    </w:p>
    <w:p w14:paraId="1BFCDA97" w14:textId="77777777" w:rsidR="00034A83" w:rsidRPr="004D464B" w:rsidRDefault="00034A83" w:rsidP="005C40AA">
      <w:pPr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  <w:lang w:val="es-DO"/>
        </w:rPr>
      </w:pPr>
    </w:p>
    <w:p w14:paraId="06BCE48E" w14:textId="433C76FE" w:rsidR="00034A83" w:rsidRPr="004D464B" w:rsidRDefault="00034A83" w:rsidP="00202F55">
      <w:pPr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  <w:lang w:val="es-DO"/>
        </w:rPr>
      </w:pPr>
      <w:r w:rsidRPr="004D464B">
        <w:rPr>
          <w:rFonts w:ascii="Times New Roman" w:hAnsi="Times New Roman"/>
          <w:sz w:val="28"/>
          <w:szCs w:val="28"/>
          <w:lang w:val="es-DO"/>
        </w:rPr>
        <w:t>Proiectul propune adaugarea unui num</w:t>
      </w:r>
      <w:r w:rsidR="0068559E" w:rsidRPr="004D464B">
        <w:rPr>
          <w:rFonts w:ascii="Times New Roman" w:hAnsi="Times New Roman"/>
          <w:sz w:val="28"/>
          <w:szCs w:val="28"/>
          <w:lang w:val="es-DO"/>
        </w:rPr>
        <w:t>ă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r de </w:t>
      </w:r>
      <w:r w:rsidR="0068559E" w:rsidRPr="004D464B">
        <w:rPr>
          <w:rFonts w:ascii="Times New Roman" w:hAnsi="Times New Roman"/>
          <w:sz w:val="28"/>
          <w:szCs w:val="28"/>
          <w:lang w:val="es-DO"/>
        </w:rPr>
        <w:t>73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 de contribuabili c</w:t>
      </w:r>
      <w:r w:rsidR="0068559E" w:rsidRPr="004D464B">
        <w:rPr>
          <w:rFonts w:ascii="Times New Roman" w:hAnsi="Times New Roman"/>
          <w:sz w:val="28"/>
          <w:szCs w:val="28"/>
          <w:lang w:val="es-DO"/>
        </w:rPr>
        <w:t>ărora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 </w:t>
      </w:r>
      <w:r w:rsidR="0068559E" w:rsidRPr="004D464B">
        <w:rPr>
          <w:rFonts w:ascii="Times New Roman" w:hAnsi="Times New Roman"/>
          <w:sz w:val="28"/>
          <w:szCs w:val="28"/>
          <w:lang w:val="es-DO"/>
        </w:rPr>
        <w:t>să le fie  aplicate prevederile privind supraimpozitarea clădirilor neingrijite, precum si exceptarea de la aplicarea supraimpozitării pentru un număr de 48 de contribuabili.</w:t>
      </w:r>
    </w:p>
    <w:p w14:paraId="65B60E13" w14:textId="77777777" w:rsidR="00202F55" w:rsidRPr="004D464B" w:rsidRDefault="00202F55" w:rsidP="00202F55">
      <w:pPr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  <w:lang w:val="es-DO"/>
        </w:rPr>
      </w:pPr>
    </w:p>
    <w:p w14:paraId="29602F67" w14:textId="4235456D" w:rsidR="00202F55" w:rsidRPr="004D464B" w:rsidRDefault="00202F55" w:rsidP="00202F55">
      <w:pPr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  <w:lang w:val="es-DO"/>
        </w:rPr>
      </w:pPr>
      <w:r w:rsidRPr="004D464B">
        <w:rPr>
          <w:rFonts w:ascii="Times New Roman" w:hAnsi="Times New Roman"/>
          <w:sz w:val="28"/>
          <w:szCs w:val="28"/>
          <w:lang w:val="es-DO"/>
        </w:rPr>
        <w:t xml:space="preserve">Proiectul cuprinde în anexele sale date diferite de la care se aplică majorarea cu  500%, acest fapt fiind reglementat de Anexa nr.1 , art.11 alin (12) din  H.C.L. nr. 207/26.08.2021 privind aprobarea Regulamentului de stabilire a criteriilor de identificare a clădirilor şi terenurilor neîngrijite situate în intravilanul Municipiului Satu Mare, în vederea aplicării prevederilor art. 489 alin. (5) – (8) din Legea nr. 227/2015 privind Codul Fiscal şi pct. 168 din HG nr. 1/2016 pentru aprobarea Normelor metodologice de aplicare a Legii nr. 227/2015 privind Codul Fiscal ,  de unde redăm  : </w:t>
      </w:r>
    </w:p>
    <w:p w14:paraId="354EB9F6" w14:textId="77777777" w:rsidR="00202F55" w:rsidRPr="004D464B" w:rsidRDefault="00202F55" w:rsidP="00202F55">
      <w:pPr>
        <w:spacing w:after="0" w:line="240" w:lineRule="auto"/>
        <w:rPr>
          <w:rFonts w:ascii="Times New Roman" w:hAnsi="Times New Roman"/>
          <w:sz w:val="28"/>
          <w:szCs w:val="28"/>
          <w:lang w:val="es-DO"/>
        </w:rPr>
      </w:pPr>
    </w:p>
    <w:p w14:paraId="7F3CB7F0" w14:textId="4788C7C5" w:rsidR="00202F55" w:rsidRPr="00C162E8" w:rsidRDefault="00202F55" w:rsidP="00202F55">
      <w:pPr>
        <w:spacing w:after="0" w:line="360" w:lineRule="auto"/>
        <w:ind w:firstLine="720"/>
        <w:jc w:val="both"/>
        <w:rPr>
          <w:sz w:val="24"/>
          <w:szCs w:val="24"/>
          <w:lang w:val="es-MX"/>
        </w:rPr>
      </w:pPr>
      <w:r w:rsidRPr="004D464B">
        <w:rPr>
          <w:b/>
          <w:sz w:val="24"/>
          <w:szCs w:val="24"/>
          <w:lang w:val="es-DO"/>
        </w:rPr>
        <w:t>“</w:t>
      </w:r>
      <w:r w:rsidRPr="00C162E8">
        <w:rPr>
          <w:b/>
          <w:sz w:val="24"/>
          <w:szCs w:val="24"/>
          <w:lang w:val="es-MX"/>
        </w:rPr>
        <w:t>(1</w:t>
      </w:r>
      <w:r>
        <w:rPr>
          <w:b/>
          <w:sz w:val="24"/>
          <w:szCs w:val="24"/>
          <w:lang w:val="es-MX"/>
        </w:rPr>
        <w:t>2</w:t>
      </w:r>
      <w:r w:rsidRPr="00C162E8">
        <w:rPr>
          <w:sz w:val="24"/>
          <w:szCs w:val="24"/>
          <w:lang w:val="es-MX"/>
        </w:rPr>
        <w:t xml:space="preserve">.) La data de 30 noiembrie  a anului fiscal în curs, Comisia de identificare va analiza valabilitatea tuturor certificatelor de urbanism, autorizații de construire și contracte de execuție și </w:t>
      </w:r>
      <w:r w:rsidRPr="00202F55">
        <w:rPr>
          <w:b/>
          <w:bCs/>
          <w:sz w:val="24"/>
          <w:szCs w:val="24"/>
          <w:u w:val="single"/>
          <w:lang w:val="es-MX"/>
        </w:rPr>
        <w:t>în cazul expirării acestora și nerealizării lucrărilor de intervenție menționate în Nota tehnică de constatare, va propune aplicarea majorării impozitului</w:t>
      </w:r>
      <w:r w:rsidRPr="00C162E8">
        <w:rPr>
          <w:sz w:val="24"/>
          <w:szCs w:val="24"/>
          <w:lang w:val="es-MX"/>
        </w:rPr>
        <w:t xml:space="preserve"> pentru imobilul în cauză </w:t>
      </w:r>
      <w:r w:rsidRPr="00202F55">
        <w:rPr>
          <w:b/>
          <w:bCs/>
          <w:sz w:val="24"/>
          <w:szCs w:val="24"/>
          <w:u w:val="single"/>
          <w:lang w:val="es-MX"/>
        </w:rPr>
        <w:t>începând cu anul fiscal următor</w:t>
      </w:r>
      <w:r w:rsidRPr="00202F55">
        <w:rPr>
          <w:sz w:val="24"/>
          <w:szCs w:val="24"/>
          <w:u w:val="single"/>
          <w:lang w:val="es-MX"/>
        </w:rPr>
        <w:t xml:space="preserve"> </w:t>
      </w:r>
      <w:r w:rsidRPr="00202F55">
        <w:rPr>
          <w:b/>
          <w:bCs/>
          <w:sz w:val="24"/>
          <w:szCs w:val="24"/>
          <w:u w:val="single"/>
          <w:lang w:val="es-MX"/>
        </w:rPr>
        <w:t>celei în care proprietarul/proprietarii a fost/au  fost somat/somați</w:t>
      </w:r>
      <w:r w:rsidRPr="00C162E8">
        <w:rPr>
          <w:sz w:val="24"/>
          <w:szCs w:val="24"/>
          <w:lang w:val="es-MX"/>
        </w:rPr>
        <w:t>.</w:t>
      </w:r>
      <w:r>
        <w:rPr>
          <w:sz w:val="24"/>
          <w:szCs w:val="24"/>
          <w:lang w:val="es-MX"/>
        </w:rPr>
        <w:t>”</w:t>
      </w:r>
    </w:p>
    <w:p w14:paraId="5EC0B2C4" w14:textId="77777777" w:rsidR="00202F55" w:rsidRPr="004D464B" w:rsidRDefault="00202F55" w:rsidP="00202F55">
      <w:pPr>
        <w:spacing w:after="0" w:line="240" w:lineRule="auto"/>
        <w:rPr>
          <w:rFonts w:ascii="Times New Roman" w:hAnsi="Times New Roman"/>
          <w:sz w:val="28"/>
          <w:szCs w:val="28"/>
          <w:lang w:val="es-DO"/>
        </w:rPr>
      </w:pPr>
    </w:p>
    <w:p w14:paraId="16364630" w14:textId="7C34414B" w:rsidR="00202F55" w:rsidRPr="004D464B" w:rsidRDefault="00202F55" w:rsidP="005C40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s-DO"/>
        </w:rPr>
      </w:pPr>
      <w:r w:rsidRPr="004D464B">
        <w:rPr>
          <w:rFonts w:ascii="Times New Roman" w:hAnsi="Times New Roman"/>
          <w:sz w:val="28"/>
          <w:szCs w:val="28"/>
          <w:lang w:val="es-DO"/>
        </w:rPr>
        <w:t xml:space="preserve">Având în vedere că o serie de contribuabili au fost exceptați de la aplicarea majorării </w:t>
      </w:r>
      <w:r w:rsidR="00FC068F" w:rsidRPr="004D464B">
        <w:rPr>
          <w:rFonts w:ascii="Times New Roman" w:hAnsi="Times New Roman"/>
          <w:sz w:val="28"/>
          <w:szCs w:val="28"/>
          <w:lang w:val="es-DO"/>
        </w:rPr>
        <w:t>cu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 500% </w:t>
      </w:r>
      <w:r w:rsidR="00FC068F" w:rsidRPr="004D464B">
        <w:rPr>
          <w:rFonts w:ascii="Times New Roman" w:hAnsi="Times New Roman"/>
          <w:sz w:val="28"/>
          <w:szCs w:val="28"/>
          <w:lang w:val="es-DO"/>
        </w:rPr>
        <w:t xml:space="preserve">a impozitului pe cladiri , 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pentru prezentarea de </w:t>
      </w:r>
      <w:r w:rsidR="00FC068F" w:rsidRPr="004D464B">
        <w:rPr>
          <w:rFonts w:ascii="Times New Roman" w:hAnsi="Times New Roman"/>
          <w:sz w:val="28"/>
          <w:szCs w:val="28"/>
          <w:lang w:val="es-DO"/>
        </w:rPr>
        <w:t xml:space="preserve">certificate de urbanism, autorizații de construire sau contracte de execuție, care însă după momentul expirării termenelor nu au îndeplinit toate lucrările de intervenții dispuse, regulamentul a stabilit pentru aceștia aplicarea majorării cu anul fiscal următor celui în care  au fost somați. Aceștia se regasesc in cuprinul anexelor nr.2 și nr. 3. </w:t>
      </w:r>
    </w:p>
    <w:p w14:paraId="2742FE25" w14:textId="10B54C21" w:rsidR="007404EE" w:rsidRPr="004D464B" w:rsidRDefault="007404EE" w:rsidP="005C40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s-DO"/>
        </w:rPr>
      </w:pPr>
      <w:r w:rsidRPr="004D464B">
        <w:rPr>
          <w:rFonts w:ascii="Times New Roman" w:hAnsi="Times New Roman"/>
          <w:sz w:val="28"/>
          <w:szCs w:val="28"/>
          <w:lang w:val="es-DO"/>
        </w:rPr>
        <w:lastRenderedPageBreak/>
        <w:t>Având în vedere cele de mai sus, potrivit art. 136 alin. (3) lit a) din O.G. nr.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 xml:space="preserve"> 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57/2019 privind Codul 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>a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dministrativ , Direcția Impozite și Taxe Locale Satu Mare a analizat proiectul de hotărâre </w:t>
      </w:r>
      <w:r w:rsidR="00EE14D9" w:rsidRPr="004D464B">
        <w:rPr>
          <w:rFonts w:ascii="Times New Roman" w:hAnsi="Times New Roman"/>
          <w:sz w:val="28"/>
          <w:szCs w:val="28"/>
          <w:lang w:val="es-DO"/>
        </w:rPr>
        <w:t>pe baza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 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>d</w:t>
      </w:r>
      <w:r w:rsidRPr="004D464B">
        <w:rPr>
          <w:rFonts w:ascii="Times New Roman" w:hAnsi="Times New Roman"/>
          <w:sz w:val="28"/>
          <w:szCs w:val="28"/>
          <w:lang w:val="es-DO"/>
        </w:rPr>
        <w:t>ocumenta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>ț</w:t>
      </w:r>
      <w:r w:rsidRPr="004D464B">
        <w:rPr>
          <w:rFonts w:ascii="Times New Roman" w:hAnsi="Times New Roman"/>
          <w:sz w:val="28"/>
          <w:szCs w:val="28"/>
          <w:lang w:val="es-DO"/>
        </w:rPr>
        <w:t>i</w:t>
      </w:r>
      <w:r w:rsidR="00EE14D9" w:rsidRPr="004D464B">
        <w:rPr>
          <w:rFonts w:ascii="Times New Roman" w:hAnsi="Times New Roman"/>
          <w:sz w:val="28"/>
          <w:szCs w:val="28"/>
          <w:lang w:val="es-DO"/>
        </w:rPr>
        <w:t>ei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 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>î</w:t>
      </w:r>
      <w:r w:rsidRPr="004D464B">
        <w:rPr>
          <w:rFonts w:ascii="Times New Roman" w:hAnsi="Times New Roman"/>
          <w:sz w:val="28"/>
          <w:szCs w:val="28"/>
          <w:lang w:val="es-DO"/>
        </w:rPr>
        <w:t>ntocmit</w:t>
      </w:r>
      <w:r w:rsidR="00EE14D9" w:rsidRPr="004D464B">
        <w:rPr>
          <w:rFonts w:ascii="Times New Roman" w:hAnsi="Times New Roman"/>
          <w:sz w:val="28"/>
          <w:szCs w:val="28"/>
          <w:lang w:val="es-DO"/>
        </w:rPr>
        <w:t>e</w:t>
      </w:r>
      <w:r w:rsidRPr="004D464B">
        <w:rPr>
          <w:rFonts w:ascii="Times New Roman" w:hAnsi="Times New Roman"/>
          <w:sz w:val="28"/>
          <w:szCs w:val="28"/>
          <w:lang w:val="es-DO"/>
        </w:rPr>
        <w:t xml:space="preserve"> de Biroul Finaliz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>ă</w:t>
      </w:r>
      <w:r w:rsidRPr="004D464B">
        <w:rPr>
          <w:rFonts w:ascii="Times New Roman" w:hAnsi="Times New Roman"/>
          <w:sz w:val="28"/>
          <w:szCs w:val="28"/>
          <w:lang w:val="es-DO"/>
        </w:rPr>
        <w:t>ri Construc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>ț</w:t>
      </w:r>
      <w:r w:rsidRPr="004D464B">
        <w:rPr>
          <w:rFonts w:ascii="Times New Roman" w:hAnsi="Times New Roman"/>
          <w:sz w:val="28"/>
          <w:szCs w:val="28"/>
          <w:lang w:val="es-DO"/>
        </w:rPr>
        <w:t>ii din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 xml:space="preserve"> </w:t>
      </w:r>
      <w:r w:rsidRPr="004D464B">
        <w:rPr>
          <w:rFonts w:ascii="Times New Roman" w:hAnsi="Times New Roman"/>
          <w:sz w:val="28"/>
          <w:szCs w:val="28"/>
          <w:lang w:val="es-DO"/>
        </w:rPr>
        <w:t>cadrul Prim</w:t>
      </w:r>
      <w:r w:rsidR="00AF3FA6" w:rsidRPr="004D464B">
        <w:rPr>
          <w:rFonts w:ascii="Times New Roman" w:hAnsi="Times New Roman"/>
          <w:sz w:val="28"/>
          <w:szCs w:val="28"/>
          <w:lang w:val="es-DO"/>
        </w:rPr>
        <w:t>ă</w:t>
      </w:r>
      <w:r w:rsidRPr="004D464B">
        <w:rPr>
          <w:rFonts w:ascii="Times New Roman" w:hAnsi="Times New Roman"/>
          <w:sz w:val="28"/>
          <w:szCs w:val="28"/>
          <w:lang w:val="es-DO"/>
        </w:rPr>
        <w:t>riei municipiului Satu Mare.</w:t>
      </w:r>
    </w:p>
    <w:p w14:paraId="3CCF54F2" w14:textId="77777777" w:rsidR="00C70D85" w:rsidRPr="004D464B" w:rsidRDefault="00C70D85" w:rsidP="005C40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s-DO"/>
        </w:rPr>
      </w:pPr>
    </w:p>
    <w:p w14:paraId="12E9D1A0" w14:textId="77777777" w:rsidR="00EE14D9" w:rsidRPr="004D464B" w:rsidRDefault="00EE14D9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4D464B">
        <w:rPr>
          <w:rFonts w:ascii="Times New Roman" w:hAnsi="Times New Roman"/>
          <w:sz w:val="28"/>
          <w:szCs w:val="28"/>
          <w:lang w:val="es-DO"/>
        </w:rPr>
        <w:t>Față de cele expuse mai sus, raportat și la prevederile  O.U.G nr. 57/2019 privind Codul administrativ, cu modificările și</w:t>
      </w:r>
      <w:r w:rsidRPr="004D464B">
        <w:rPr>
          <w:rFonts w:ascii="Times New Roman" w:hAnsi="Times New Roman" w:cs="Times New Roman"/>
          <w:sz w:val="28"/>
          <w:szCs w:val="28"/>
          <w:lang w:val="es-DO"/>
        </w:rPr>
        <w:t xml:space="preserve"> completările ulterioare, potrivit cărora consiliul local are atribuții privind dezvoltarea economico-socială a municipiului și aprobă în condițiile legii impozitele și taxele locale,</w:t>
      </w:r>
    </w:p>
    <w:p w14:paraId="04D9DA2F" w14:textId="77777777" w:rsidR="00EE14D9" w:rsidRPr="004D464B" w:rsidRDefault="00EE14D9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2F1BA9AA" w14:textId="401BC824" w:rsidR="00EE14D9" w:rsidRPr="004D464B" w:rsidRDefault="00EE14D9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4D464B">
        <w:rPr>
          <w:rFonts w:ascii="Times New Roman" w:hAnsi="Times New Roman" w:cs="Times New Roman"/>
          <w:sz w:val="28"/>
          <w:szCs w:val="28"/>
          <w:lang w:val="es-DO"/>
        </w:rPr>
        <w:t>Analizând toate prevederile sale proiectul de hotărâre se înaintează Consiliului Local al Municipiului Satu Mare, cu propunere de aprobare.</w:t>
      </w:r>
    </w:p>
    <w:p w14:paraId="53489D9F" w14:textId="77777777" w:rsidR="00EE14D9" w:rsidRPr="004D464B" w:rsidRDefault="00EE14D9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57DFBB48" w14:textId="77777777" w:rsidR="00442A33" w:rsidRPr="004D464B" w:rsidRDefault="00442A33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551CDA2E" w14:textId="77777777" w:rsidR="0068559E" w:rsidRPr="004D464B" w:rsidRDefault="0068559E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DO"/>
        </w:rPr>
      </w:pPr>
    </w:p>
    <w:p w14:paraId="12179B9B" w14:textId="2ED3A61D" w:rsidR="00EE14D9" w:rsidRPr="004D464B" w:rsidRDefault="00EE14D9" w:rsidP="006855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DO"/>
        </w:rPr>
      </w:pPr>
      <w:r w:rsidRPr="004D464B">
        <w:rPr>
          <w:rFonts w:ascii="Times New Roman" w:hAnsi="Times New Roman" w:cs="Times New Roman"/>
          <w:b/>
          <w:bCs/>
          <w:sz w:val="28"/>
          <w:szCs w:val="28"/>
          <w:lang w:val="es-DO"/>
        </w:rPr>
        <w:t>Șef Serviciu Impunere Constatare Control</w:t>
      </w:r>
    </w:p>
    <w:p w14:paraId="2EB9554A" w14:textId="5DA1531F" w:rsidR="00EE14D9" w:rsidRPr="004D464B" w:rsidRDefault="00EE14D9" w:rsidP="006855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DO"/>
        </w:rPr>
      </w:pPr>
      <w:r w:rsidRPr="004D464B">
        <w:rPr>
          <w:rFonts w:ascii="Times New Roman" w:hAnsi="Times New Roman" w:cs="Times New Roman"/>
          <w:b/>
          <w:bCs/>
          <w:sz w:val="28"/>
          <w:szCs w:val="28"/>
          <w:lang w:val="es-DO"/>
        </w:rPr>
        <w:t>ec. Sorin CRIȘAN</w:t>
      </w:r>
    </w:p>
    <w:p w14:paraId="18DA2FB5" w14:textId="77777777" w:rsidR="0068559E" w:rsidRPr="004D464B" w:rsidRDefault="0068559E" w:rsidP="006855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DO"/>
        </w:rPr>
      </w:pPr>
    </w:p>
    <w:p w14:paraId="3D8A634C" w14:textId="77777777" w:rsidR="0068559E" w:rsidRPr="00667704" w:rsidRDefault="0068559E" w:rsidP="00685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704">
        <w:rPr>
          <w:rFonts w:ascii="Times New Roman" w:hAnsi="Times New Roman" w:cs="Times New Roman"/>
          <w:b/>
          <w:sz w:val="28"/>
          <w:szCs w:val="28"/>
        </w:rPr>
        <w:t>Director executiv</w:t>
      </w:r>
    </w:p>
    <w:p w14:paraId="01102FCF" w14:textId="77777777" w:rsidR="0068559E" w:rsidRPr="00667704" w:rsidRDefault="0068559E" w:rsidP="006855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704">
        <w:rPr>
          <w:rFonts w:ascii="Times New Roman" w:hAnsi="Times New Roman" w:cs="Times New Roman"/>
          <w:b/>
          <w:sz w:val="28"/>
          <w:szCs w:val="28"/>
        </w:rPr>
        <w:t>ec. Vasile-Claudiu TINCU</w:t>
      </w:r>
    </w:p>
    <w:p w14:paraId="0D158BCA" w14:textId="77777777" w:rsidR="00C70D85" w:rsidRDefault="00C70D85" w:rsidP="005C40AA">
      <w:pPr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  <w:lang w:val="ro-RO"/>
        </w:rPr>
      </w:pPr>
    </w:p>
    <w:p w14:paraId="0E762DDB" w14:textId="77777777" w:rsidR="0068559E" w:rsidRDefault="0068559E" w:rsidP="005C40AA">
      <w:pPr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  <w:lang w:val="ro-RO"/>
        </w:rPr>
      </w:pPr>
    </w:p>
    <w:p w14:paraId="24B0F331" w14:textId="77777777" w:rsidR="0068559E" w:rsidRDefault="0068559E" w:rsidP="005C40AA">
      <w:pPr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  <w:lang w:val="ro-RO"/>
        </w:rPr>
      </w:pPr>
    </w:p>
    <w:sectPr w:rsidR="0068559E" w:rsidSect="0068559E">
      <w:headerReference w:type="default" r:id="rId10"/>
      <w:footerReference w:type="default" r:id="rId11"/>
      <w:headerReference w:type="first" r:id="rId12"/>
      <w:pgSz w:w="11907" w:h="16839" w:code="9"/>
      <w:pgMar w:top="1134" w:right="1134" w:bottom="1276" w:left="1560" w:header="284" w:footer="4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06646" w14:textId="77777777" w:rsidR="004634A7" w:rsidRDefault="004634A7" w:rsidP="00E16693">
      <w:pPr>
        <w:spacing w:after="0" w:line="240" w:lineRule="auto"/>
      </w:pPr>
      <w:r>
        <w:separator/>
      </w:r>
    </w:p>
  </w:endnote>
  <w:endnote w:type="continuationSeparator" w:id="0">
    <w:p w14:paraId="635DEE6E" w14:textId="77777777" w:rsidR="004634A7" w:rsidRDefault="004634A7" w:rsidP="00E1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13ED6" w14:textId="77777777" w:rsidR="003C51DE" w:rsidRDefault="003C51DE" w:rsidP="00E16693">
    <w:pPr>
      <w:pStyle w:val="Header"/>
    </w:pPr>
  </w:p>
  <w:sdt>
    <w:sdtPr>
      <w:id w:val="-238014448"/>
      <w:docPartObj>
        <w:docPartGallery w:val="Page Numbers (Top of Page)"/>
        <w:docPartUnique/>
      </w:docPartObj>
    </w:sdtPr>
    <w:sdtEndPr/>
    <w:sdtContent>
      <w:p w14:paraId="3ED43770" w14:textId="77777777" w:rsidR="003C51DE" w:rsidRDefault="003C51DE" w:rsidP="00E16693">
        <w:pPr>
          <w:pStyle w:val="Header"/>
        </w:pPr>
        <w:r>
          <w:t>Pagina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 w:rsidR="00042361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din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 w:rsidR="00042361"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</w:p>
    </w:sdtContent>
  </w:sdt>
  <w:p w14:paraId="6E5F9728" w14:textId="1DCAC943" w:rsidR="003C51DE" w:rsidRDefault="003C5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AAC49" w14:textId="77777777" w:rsidR="004634A7" w:rsidRDefault="004634A7" w:rsidP="00E16693">
      <w:pPr>
        <w:spacing w:after="0" w:line="240" w:lineRule="auto"/>
      </w:pPr>
      <w:r>
        <w:separator/>
      </w:r>
    </w:p>
  </w:footnote>
  <w:footnote w:type="continuationSeparator" w:id="0">
    <w:p w14:paraId="57D6EAFA" w14:textId="77777777" w:rsidR="004634A7" w:rsidRDefault="004634A7" w:rsidP="00E1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8FF09" w14:textId="77777777" w:rsidR="003C51DE" w:rsidRDefault="003C51DE" w:rsidP="00D60E3B">
    <w:pPr>
      <w:pStyle w:val="Header"/>
      <w:pBdr>
        <w:between w:val="single" w:sz="4" w:space="1" w:color="4F81BD" w:themeColor="accent1"/>
      </w:pBdr>
      <w:jc w:val="right"/>
    </w:pPr>
  </w:p>
  <w:p w14:paraId="2AACBD75" w14:textId="77777777" w:rsidR="003C51DE" w:rsidRDefault="003C5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A26EA" w14:textId="77777777" w:rsidR="00CE4283" w:rsidRDefault="00CE4283" w:rsidP="00E16693">
    <w:pPr>
      <w:pStyle w:val="Header"/>
    </w:pPr>
  </w:p>
  <w:p w14:paraId="62718170" w14:textId="52071992" w:rsidR="003C51DE" w:rsidRPr="00E16693" w:rsidRDefault="003C51DE" w:rsidP="00E16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B195C"/>
    <w:multiLevelType w:val="hybridMultilevel"/>
    <w:tmpl w:val="81DAECD8"/>
    <w:lvl w:ilvl="0" w:tplc="B1F822A6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b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4008F2"/>
    <w:multiLevelType w:val="hybridMultilevel"/>
    <w:tmpl w:val="0C3A5BA4"/>
    <w:lvl w:ilvl="0" w:tplc="A6BAE1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8294161">
    <w:abstractNumId w:val="1"/>
  </w:num>
  <w:num w:numId="2" w16cid:durableId="165683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BE"/>
    <w:rsid w:val="00002A58"/>
    <w:rsid w:val="00006847"/>
    <w:rsid w:val="00007F9E"/>
    <w:rsid w:val="000208E4"/>
    <w:rsid w:val="00034A83"/>
    <w:rsid w:val="00042361"/>
    <w:rsid w:val="0005005B"/>
    <w:rsid w:val="00054F67"/>
    <w:rsid w:val="0006790B"/>
    <w:rsid w:val="000707A0"/>
    <w:rsid w:val="000754A0"/>
    <w:rsid w:val="0009546E"/>
    <w:rsid w:val="0009606A"/>
    <w:rsid w:val="000A0625"/>
    <w:rsid w:val="000A0B63"/>
    <w:rsid w:val="000B7DD2"/>
    <w:rsid w:val="000C1F50"/>
    <w:rsid w:val="000D4591"/>
    <w:rsid w:val="000E20B8"/>
    <w:rsid w:val="000F7D04"/>
    <w:rsid w:val="00121D98"/>
    <w:rsid w:val="00144458"/>
    <w:rsid w:val="00154A80"/>
    <w:rsid w:val="00157548"/>
    <w:rsid w:val="00157B75"/>
    <w:rsid w:val="00163175"/>
    <w:rsid w:val="00191F24"/>
    <w:rsid w:val="00195CAC"/>
    <w:rsid w:val="001C3B6D"/>
    <w:rsid w:val="001D0A56"/>
    <w:rsid w:val="00202F55"/>
    <w:rsid w:val="00206CA5"/>
    <w:rsid w:val="00220D58"/>
    <w:rsid w:val="002269D5"/>
    <w:rsid w:val="00237173"/>
    <w:rsid w:val="00272AC7"/>
    <w:rsid w:val="0028039E"/>
    <w:rsid w:val="00283271"/>
    <w:rsid w:val="00287CF0"/>
    <w:rsid w:val="002B2506"/>
    <w:rsid w:val="002C6D2B"/>
    <w:rsid w:val="002C7272"/>
    <w:rsid w:val="002E2E64"/>
    <w:rsid w:val="002E7200"/>
    <w:rsid w:val="002F0580"/>
    <w:rsid w:val="002F0995"/>
    <w:rsid w:val="003024B5"/>
    <w:rsid w:val="003036AF"/>
    <w:rsid w:val="0032290E"/>
    <w:rsid w:val="00322B12"/>
    <w:rsid w:val="00336C5D"/>
    <w:rsid w:val="0034359A"/>
    <w:rsid w:val="003448DC"/>
    <w:rsid w:val="00344BFF"/>
    <w:rsid w:val="003538A2"/>
    <w:rsid w:val="00362160"/>
    <w:rsid w:val="00367BC5"/>
    <w:rsid w:val="00371C01"/>
    <w:rsid w:val="003813E2"/>
    <w:rsid w:val="003B31F8"/>
    <w:rsid w:val="003B7E94"/>
    <w:rsid w:val="003C51DE"/>
    <w:rsid w:val="003D34F6"/>
    <w:rsid w:val="003E59F4"/>
    <w:rsid w:val="00437450"/>
    <w:rsid w:val="00442A33"/>
    <w:rsid w:val="00447F06"/>
    <w:rsid w:val="004634A7"/>
    <w:rsid w:val="0047085D"/>
    <w:rsid w:val="00473BE3"/>
    <w:rsid w:val="004832D0"/>
    <w:rsid w:val="00484E76"/>
    <w:rsid w:val="00491D3C"/>
    <w:rsid w:val="004B459C"/>
    <w:rsid w:val="004C1909"/>
    <w:rsid w:val="004C6AF0"/>
    <w:rsid w:val="004D3AC8"/>
    <w:rsid w:val="004D464B"/>
    <w:rsid w:val="004E322C"/>
    <w:rsid w:val="004E3514"/>
    <w:rsid w:val="004E53DB"/>
    <w:rsid w:val="004E653E"/>
    <w:rsid w:val="004F68E7"/>
    <w:rsid w:val="00504841"/>
    <w:rsid w:val="005147BF"/>
    <w:rsid w:val="00520914"/>
    <w:rsid w:val="00520E34"/>
    <w:rsid w:val="00550033"/>
    <w:rsid w:val="0055406F"/>
    <w:rsid w:val="005650C1"/>
    <w:rsid w:val="00566368"/>
    <w:rsid w:val="0056651A"/>
    <w:rsid w:val="005674A3"/>
    <w:rsid w:val="00574D68"/>
    <w:rsid w:val="005A45CA"/>
    <w:rsid w:val="005B0C4F"/>
    <w:rsid w:val="005C40AA"/>
    <w:rsid w:val="005E53C0"/>
    <w:rsid w:val="00603C6A"/>
    <w:rsid w:val="00614F10"/>
    <w:rsid w:val="0064263A"/>
    <w:rsid w:val="006835A7"/>
    <w:rsid w:val="0068559E"/>
    <w:rsid w:val="006B5482"/>
    <w:rsid w:val="006D0F12"/>
    <w:rsid w:val="006E1674"/>
    <w:rsid w:val="006F283E"/>
    <w:rsid w:val="00701E08"/>
    <w:rsid w:val="0070654E"/>
    <w:rsid w:val="00736FE9"/>
    <w:rsid w:val="007401F3"/>
    <w:rsid w:val="007404EE"/>
    <w:rsid w:val="00744E67"/>
    <w:rsid w:val="00751B2D"/>
    <w:rsid w:val="00762E41"/>
    <w:rsid w:val="00795481"/>
    <w:rsid w:val="007A5B04"/>
    <w:rsid w:val="007B62CC"/>
    <w:rsid w:val="00800B26"/>
    <w:rsid w:val="0080769B"/>
    <w:rsid w:val="00825D28"/>
    <w:rsid w:val="00831C98"/>
    <w:rsid w:val="00833AAA"/>
    <w:rsid w:val="00853DA9"/>
    <w:rsid w:val="00871387"/>
    <w:rsid w:val="00882D45"/>
    <w:rsid w:val="00882D4E"/>
    <w:rsid w:val="008B2882"/>
    <w:rsid w:val="008B71A6"/>
    <w:rsid w:val="008C1E93"/>
    <w:rsid w:val="008C433A"/>
    <w:rsid w:val="008D1827"/>
    <w:rsid w:val="008E08D9"/>
    <w:rsid w:val="008E1AD0"/>
    <w:rsid w:val="009A716B"/>
    <w:rsid w:val="00A260BD"/>
    <w:rsid w:val="00A423CF"/>
    <w:rsid w:val="00A554EC"/>
    <w:rsid w:val="00A56978"/>
    <w:rsid w:val="00A753DD"/>
    <w:rsid w:val="00A905BE"/>
    <w:rsid w:val="00A912FE"/>
    <w:rsid w:val="00AB45AE"/>
    <w:rsid w:val="00AC0DDE"/>
    <w:rsid w:val="00AD129A"/>
    <w:rsid w:val="00AE3A95"/>
    <w:rsid w:val="00AF3FA6"/>
    <w:rsid w:val="00B25CB3"/>
    <w:rsid w:val="00B323A7"/>
    <w:rsid w:val="00B3712C"/>
    <w:rsid w:val="00B532BF"/>
    <w:rsid w:val="00B60271"/>
    <w:rsid w:val="00B77F76"/>
    <w:rsid w:val="00B976BB"/>
    <w:rsid w:val="00BE43BE"/>
    <w:rsid w:val="00C150D6"/>
    <w:rsid w:val="00C23F2F"/>
    <w:rsid w:val="00C33F49"/>
    <w:rsid w:val="00C52E08"/>
    <w:rsid w:val="00C70D85"/>
    <w:rsid w:val="00C7633C"/>
    <w:rsid w:val="00C77342"/>
    <w:rsid w:val="00C77F3B"/>
    <w:rsid w:val="00C825B7"/>
    <w:rsid w:val="00C86915"/>
    <w:rsid w:val="00CD0585"/>
    <w:rsid w:val="00CD6D9D"/>
    <w:rsid w:val="00CE4283"/>
    <w:rsid w:val="00D155D7"/>
    <w:rsid w:val="00D2506A"/>
    <w:rsid w:val="00D261A3"/>
    <w:rsid w:val="00D321FA"/>
    <w:rsid w:val="00D36484"/>
    <w:rsid w:val="00D60E3B"/>
    <w:rsid w:val="00D74EEF"/>
    <w:rsid w:val="00D77212"/>
    <w:rsid w:val="00D911FB"/>
    <w:rsid w:val="00DA1D63"/>
    <w:rsid w:val="00DA7F56"/>
    <w:rsid w:val="00DB35C9"/>
    <w:rsid w:val="00DB3AD5"/>
    <w:rsid w:val="00DB6D51"/>
    <w:rsid w:val="00DB745F"/>
    <w:rsid w:val="00DD6350"/>
    <w:rsid w:val="00DE52CA"/>
    <w:rsid w:val="00E16693"/>
    <w:rsid w:val="00E20478"/>
    <w:rsid w:val="00E5569F"/>
    <w:rsid w:val="00E63812"/>
    <w:rsid w:val="00E72711"/>
    <w:rsid w:val="00E80E84"/>
    <w:rsid w:val="00E84D94"/>
    <w:rsid w:val="00E879D4"/>
    <w:rsid w:val="00E90AF7"/>
    <w:rsid w:val="00E921AC"/>
    <w:rsid w:val="00E9654A"/>
    <w:rsid w:val="00EE1076"/>
    <w:rsid w:val="00EE14D9"/>
    <w:rsid w:val="00F502E0"/>
    <w:rsid w:val="00F55077"/>
    <w:rsid w:val="00F76126"/>
    <w:rsid w:val="00F85E05"/>
    <w:rsid w:val="00F96B94"/>
    <w:rsid w:val="00FB08B9"/>
    <w:rsid w:val="00FC068F"/>
    <w:rsid w:val="00FD03EE"/>
    <w:rsid w:val="00FD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35C4B"/>
  <w15:docId w15:val="{11D2D8C7-1ACA-419A-80BB-3BD50945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D6"/>
  </w:style>
  <w:style w:type="paragraph" w:styleId="Heading5">
    <w:name w:val="heading 5"/>
    <w:basedOn w:val="Normal"/>
    <w:next w:val="Normal"/>
    <w:link w:val="Heading5Char"/>
    <w:uiPriority w:val="99"/>
    <w:qFormat/>
    <w:rsid w:val="00202F55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93"/>
  </w:style>
  <w:style w:type="paragraph" w:styleId="Footer">
    <w:name w:val="footer"/>
    <w:basedOn w:val="Normal"/>
    <w:link w:val="FooterChar"/>
    <w:uiPriority w:val="99"/>
    <w:unhideWhenUsed/>
    <w:rsid w:val="00E1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93"/>
  </w:style>
  <w:style w:type="paragraph" w:styleId="BalloonText">
    <w:name w:val="Balloon Text"/>
    <w:basedOn w:val="Normal"/>
    <w:link w:val="BalloonTextChar"/>
    <w:uiPriority w:val="99"/>
    <w:semiHidden/>
    <w:unhideWhenUsed/>
    <w:rsid w:val="00E1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9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0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478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6D0F12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DDE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2269D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rsid w:val="000F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A45CA"/>
    <w:rPr>
      <w:b/>
      <w:bCs/>
    </w:rPr>
  </w:style>
  <w:style w:type="character" w:styleId="Hyperlink">
    <w:name w:val="Hyperlink"/>
    <w:basedOn w:val="DefaultParagraphFont"/>
    <w:uiPriority w:val="99"/>
    <w:unhideWhenUsed/>
    <w:rsid w:val="001444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458"/>
    <w:rPr>
      <w:color w:val="605E5C"/>
      <w:shd w:val="clear" w:color="auto" w:fill="E1DFDD"/>
    </w:rPr>
  </w:style>
  <w:style w:type="paragraph" w:customStyle="1" w:styleId="stilarticol">
    <w:name w:val="stilarticol"/>
    <w:basedOn w:val="Normal"/>
    <w:rsid w:val="005C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ilparagraf">
    <w:name w:val="stilparagraf"/>
    <w:basedOn w:val="Normal"/>
    <w:rsid w:val="005C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rsid w:val="00202F55"/>
    <w:rPr>
      <w:rFonts w:ascii="Times New Roman" w:eastAsia="Times New Roman" w:hAnsi="Times New Roman" w:cs="Times New Roman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172813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drept.ro/0017281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CE1F3-4207-4879-9B09-85AB8B72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Crisan Sorin</dc:creator>
  <cp:lastModifiedBy>Mirela Tatar-Sinca</cp:lastModifiedBy>
  <cp:revision>3</cp:revision>
  <cp:lastPrinted>2024-12-16T08:35:00Z</cp:lastPrinted>
  <dcterms:created xsi:type="dcterms:W3CDTF">2024-12-16T13:36:00Z</dcterms:created>
  <dcterms:modified xsi:type="dcterms:W3CDTF">2024-12-17T10:28:00Z</dcterms:modified>
</cp:coreProperties>
</file>