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4F71DA85" w14:textId="7676731D" w:rsidR="004C11E5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2E543C" w14:textId="77777777" w:rsidR="001B669C" w:rsidRPr="00D514C2" w:rsidRDefault="001B669C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1EE36F72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0"/>
      <w:r w:rsidR="000E2D67">
        <w:rPr>
          <w:color w:val="000000" w:themeColor="text1"/>
          <w:sz w:val="28"/>
          <w:szCs w:val="28"/>
        </w:rPr>
        <w:t>Ardelean Florin-Ilie și Ardelean Crina-Maria-Nicoleta</w:t>
      </w:r>
      <w:r w:rsidR="00BC5A4F">
        <w:rPr>
          <w:color w:val="000000" w:themeColor="text1"/>
          <w:sz w:val="28"/>
          <w:szCs w:val="28"/>
        </w:rPr>
        <w:t xml:space="preserve">, în caliate de </w:t>
      </w:r>
      <w:r w:rsidR="000E2D67">
        <w:rPr>
          <w:color w:val="000000" w:themeColor="text1"/>
          <w:sz w:val="28"/>
          <w:szCs w:val="28"/>
        </w:rPr>
        <w:t>beneficiari</w:t>
      </w:r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1" w:name="_Hlk159241272"/>
      <w:r w:rsidR="000E2D67">
        <w:rPr>
          <w:color w:val="000000" w:themeColor="text1"/>
          <w:sz w:val="28"/>
          <w:szCs w:val="28"/>
        </w:rPr>
        <w:t>1886</w:t>
      </w:r>
      <w:r w:rsidR="007C3A03" w:rsidRPr="00D514C2">
        <w:rPr>
          <w:color w:val="000000" w:themeColor="text1"/>
          <w:sz w:val="28"/>
          <w:szCs w:val="28"/>
        </w:rPr>
        <w:t>/</w:t>
      </w:r>
      <w:r w:rsidR="000E2D67">
        <w:rPr>
          <w:color w:val="000000" w:themeColor="text1"/>
          <w:sz w:val="28"/>
          <w:szCs w:val="28"/>
        </w:rPr>
        <w:t>15</w:t>
      </w:r>
      <w:r w:rsidR="007C3A03" w:rsidRPr="00D514C2">
        <w:rPr>
          <w:color w:val="000000" w:themeColor="text1"/>
          <w:sz w:val="28"/>
          <w:szCs w:val="28"/>
        </w:rPr>
        <w:t>.</w:t>
      </w:r>
      <w:r w:rsidR="00BC5A4F">
        <w:rPr>
          <w:color w:val="000000" w:themeColor="text1"/>
          <w:sz w:val="28"/>
          <w:szCs w:val="28"/>
        </w:rPr>
        <w:t>0</w:t>
      </w:r>
      <w:r w:rsidR="000E2D67">
        <w:rPr>
          <w:color w:val="000000" w:themeColor="text1"/>
          <w:sz w:val="28"/>
          <w:szCs w:val="28"/>
        </w:rPr>
        <w:t>1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1"/>
      <w:r w:rsidR="000E2D67">
        <w:rPr>
          <w:color w:val="000000" w:themeColor="text1"/>
          <w:sz w:val="28"/>
          <w:szCs w:val="28"/>
        </w:rPr>
        <w:t>5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19C3F868" w14:textId="77777777" w:rsidR="002C24EA" w:rsidRPr="00D514C2" w:rsidRDefault="002C24EA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69DE611C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F751F6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03</w:t>
      </w:r>
      <w:r w:rsidR="000D4BA8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F751F6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23</w:t>
      </w:r>
      <w:r w:rsidR="00535A5B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F751F6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535A5B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F751F6" w:rsidRP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EFDA42D" w14:textId="6B127F6F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6733F9B3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89467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Lotizare în vederea construirii de locuințe individuale și introducere în intravilan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uri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</w:t>
      </w:r>
      <w:r w:rsidR="0089467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42</w:t>
      </w:r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00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2" w:name="_Hlk159233772"/>
      <w:bookmarkStart w:id="3" w:name="_Hlk159234103"/>
      <w:bookmarkStart w:id="4" w:name="_Hlk190253227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r w:rsidR="0089467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169522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Mare, </w:t>
      </w:r>
      <w:bookmarkStart w:id="5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bookmarkEnd w:id="5"/>
      <w:r w:rsidR="0089467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69522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și în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r w:rsidR="0089467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169522</w:t>
      </w:r>
      <w:r w:rsidR="000058E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Nr. Cad. </w:t>
      </w:r>
      <w:bookmarkStart w:id="6" w:name="_Hlk159233627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bookmarkEnd w:id="6"/>
      <w:r w:rsidR="0089467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69522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situat</w:t>
      </w:r>
      <w:r w:rsidR="0089467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</w:t>
      </w:r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extravilan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bookmarkEnd w:id="4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aflat</w:t>
      </w:r>
      <w:r w:rsidR="0089467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proprietatea </w:t>
      </w:r>
      <w:bookmarkEnd w:id="2"/>
      <w:bookmarkEnd w:id="3"/>
      <w:r w:rsidR="0089467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beneficiarilor.</w:t>
      </w:r>
    </w:p>
    <w:p w14:paraId="4AEB8039" w14:textId="2EBDBF8A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7" w:name="_Hlk152926507"/>
      <w:r w:rsidR="0089467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AD PAVI DINAMIC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7"/>
    </w:p>
    <w:p w14:paraId="66FE1513" w14:textId="1A6F55D0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8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</w:rPr>
        <w:t>Violeta Iuoraș</w:t>
      </w:r>
      <w:bookmarkEnd w:id="8"/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969"/>
      </w:tblGrid>
      <w:tr w:rsidR="00FD62BE" w:rsidRPr="00D514C2" w14:paraId="2C7477B2" w14:textId="77777777" w:rsidTr="001B669C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260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3969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1B669C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260" w:type="dxa"/>
            <w:shd w:val="clear" w:color="auto" w:fill="auto"/>
          </w:tcPr>
          <w:p w14:paraId="011F9563" w14:textId="2B3D29D4" w:rsidR="00757AA4" w:rsidRPr="00D514C2" w:rsidRDefault="001B669C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extravilan conform </w:t>
            </w:r>
            <w:r w:rsidR="000058E2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C.F. nr. </w:t>
            </w:r>
            <w:r w:rsidR="008946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169522</w:t>
            </w:r>
            <w:r w:rsidR="000058E2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 w:rsidR="000058E2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și </w:t>
            </w:r>
            <w:r w:rsidR="000058E2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C.F. nr. 1</w:t>
            </w:r>
            <w:r w:rsidR="000C11A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70529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Mare.</w:t>
            </w:r>
          </w:p>
        </w:tc>
        <w:tc>
          <w:tcPr>
            <w:tcW w:w="3969" w:type="dxa"/>
            <w:shd w:val="clear" w:color="auto" w:fill="auto"/>
          </w:tcPr>
          <w:p w14:paraId="33B2A340" w14:textId="176231E7" w:rsidR="00757AA4" w:rsidRPr="00D514C2" w:rsidRDefault="00706F2E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intravilan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103D46" w:rsidRPr="00D514C2" w14:paraId="43C8F0BF" w14:textId="77777777" w:rsidTr="001B669C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9" w:name="_Hlk190254443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3260" w:type="dxa"/>
            <w:shd w:val="clear" w:color="auto" w:fill="auto"/>
          </w:tcPr>
          <w:p w14:paraId="7A110086" w14:textId="63F7889D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37E795AF" w14:textId="0B89C9ED" w:rsidR="00103D46" w:rsidRDefault="00103D46" w:rsidP="001C390C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0" w:name="_Hlk159233999"/>
            <w:bookmarkStart w:id="11" w:name="_Hlk190253116"/>
            <w:r w:rsidRPr="00DA34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de </w:t>
            </w:r>
            <w:bookmarkStart w:id="12" w:name="_Hlk159234536"/>
            <w:bookmarkEnd w:id="10"/>
            <w:r w:rsidR="001C390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locuit – locuințe </w:t>
            </w:r>
            <w:r w:rsidR="000C11A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individuale</w:t>
            </w:r>
            <w:r w:rsidR="00DA34B8" w:rsidRPr="00DA34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bookmarkEnd w:id="12"/>
          </w:p>
          <w:p w14:paraId="62117259" w14:textId="77777777" w:rsidR="00B965D6" w:rsidRDefault="00B965D6" w:rsidP="001C390C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Circulații rutiere și pietonale</w:t>
            </w:r>
          </w:p>
          <w:p w14:paraId="6222B38F" w14:textId="36A430BC" w:rsidR="000C11A8" w:rsidRDefault="000C11A8" w:rsidP="001C390C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spații verzi</w:t>
            </w:r>
          </w:p>
          <w:p w14:paraId="493EB7E7" w14:textId="77777777" w:rsidR="00B965D6" w:rsidRDefault="00B965D6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Lucrări tehnico-edilitare</w:t>
            </w:r>
          </w:p>
          <w:p w14:paraId="0876DEFA" w14:textId="77777777" w:rsidR="00417B28" w:rsidRDefault="00417B28" w:rsidP="001C390C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3" w:name="_Hlk176862432"/>
            <w:bookmarkEnd w:id="11"/>
          </w:p>
          <w:p w14:paraId="794E16AD" w14:textId="3BBE23F9" w:rsidR="002C24EA" w:rsidRPr="00D514C2" w:rsidRDefault="002C24EA" w:rsidP="001C390C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4" w:name="_Hlk190254456"/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Se vor avea în vedere amenajarea unor spații verzi cu rol decorativ, precum și de delimitare optică între categoriile de funcțiuni. Se vor amenaja spații verzi în suprafață minimă de </w:t>
            </w:r>
            <w:r w:rsidR="001C390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5.00% din suprafața parcelei. Împrejmuirile între propriet</w:t>
            </w:r>
            <w:r w:rsidR="001C390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ăți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pot fi opace până la max. </w:t>
            </w:r>
            <w:r w:rsidR="000C11A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="000C11A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0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0m înălțime, putând fi completate cu suprafețe transparente până la max. 2.50m înălțime. Se recomandă dublarea împrejmuirilor spre domeniul public</w:t>
            </w:r>
            <w:bookmarkEnd w:id="14"/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bookmarkEnd w:id="13"/>
          </w:p>
        </w:tc>
      </w:tr>
      <w:bookmarkEnd w:id="9"/>
      <w:tr w:rsidR="00103D46" w:rsidRPr="00D514C2" w14:paraId="4A20EFB5" w14:textId="77777777" w:rsidTr="001B669C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3260" w:type="dxa"/>
            <w:shd w:val="clear" w:color="auto" w:fill="auto"/>
          </w:tcPr>
          <w:p w14:paraId="458BE94C" w14:textId="77777777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381EAFF" w14:textId="39078263" w:rsidR="00103D46" w:rsidRPr="00D514C2" w:rsidRDefault="00103D46" w:rsidP="001C390C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planşei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U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0</w:t>
            </w:r>
            <w:r w:rsidR="001A288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Reglementări urbanistice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– Zonificare </w:t>
            </w:r>
            <w:r w:rsidR="001A288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+ Concept propus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şi Regulamentului local de urbanism</w:t>
            </w:r>
            <w:r w:rsidR="0088342F"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 limita zonei edificabile.</w:t>
            </w:r>
          </w:p>
        </w:tc>
      </w:tr>
      <w:tr w:rsidR="00FD62BE" w:rsidRPr="00D514C2" w14:paraId="3FCDD04C" w14:textId="77777777" w:rsidTr="001B669C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260" w:type="dxa"/>
            <w:shd w:val="clear" w:color="auto" w:fill="auto"/>
          </w:tcPr>
          <w:p w14:paraId="40BB02A4" w14:textId="2A40EDBE" w:rsidR="00693F2C" w:rsidRPr="00D514C2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C427685" w14:textId="4D9FBACC" w:rsidR="00225489" w:rsidRDefault="00FD24EE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5" w:name="_Hlk159234551"/>
            <w:bookmarkStart w:id="16" w:name="_Hlk190253900"/>
            <w:r w:rsidRPr="00D514C2">
              <w:rPr>
                <w:color w:val="000000" w:themeColor="text1"/>
                <w:sz w:val="28"/>
                <w:szCs w:val="28"/>
              </w:rPr>
              <w:t>P+</w:t>
            </w:r>
            <w:r w:rsidR="001A288B">
              <w:rPr>
                <w:color w:val="000000" w:themeColor="text1"/>
                <w:sz w:val="28"/>
                <w:szCs w:val="28"/>
              </w:rPr>
              <w:t>1</w:t>
            </w:r>
            <w:r w:rsidR="001C390C">
              <w:rPr>
                <w:color w:val="000000" w:themeColor="text1"/>
                <w:sz w:val="28"/>
                <w:szCs w:val="28"/>
              </w:rPr>
              <w:t>E</w:t>
            </w:r>
            <w:bookmarkEnd w:id="15"/>
            <w:r w:rsidR="001A288B">
              <w:rPr>
                <w:color w:val="000000" w:themeColor="text1"/>
                <w:sz w:val="28"/>
                <w:szCs w:val="28"/>
              </w:rPr>
              <w:t xml:space="preserve"> (cu sau fără subsol/demisol)</w:t>
            </w:r>
          </w:p>
          <w:p w14:paraId="0BFF3B50" w14:textId="5A301C40" w:rsidR="00FD24EE" w:rsidRDefault="000236B8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7" w:name="_Hlk152927096"/>
            <w:bookmarkStart w:id="18" w:name="_Hlk176859457"/>
            <w:bookmarkEnd w:id="16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1C390C">
              <w:rPr>
                <w:color w:val="000000" w:themeColor="text1"/>
                <w:sz w:val="28"/>
                <w:szCs w:val="28"/>
                <w:vertAlign w:val="subscript"/>
              </w:rPr>
              <w:t>adm</w:t>
            </w:r>
            <w:r w:rsidR="00497D23">
              <w:rPr>
                <w:color w:val="000000" w:themeColor="text1"/>
                <w:sz w:val="28"/>
                <w:szCs w:val="28"/>
                <w:vertAlign w:val="subscript"/>
              </w:rPr>
              <w:t>i</w:t>
            </w:r>
            <w:r w:rsidR="001C390C">
              <w:rPr>
                <w:color w:val="000000" w:themeColor="text1"/>
                <w:sz w:val="28"/>
                <w:szCs w:val="28"/>
                <w:vertAlign w:val="subscript"/>
              </w:rPr>
              <w:t xml:space="preserve">s </w:t>
            </w:r>
            <w:r w:rsidR="001A288B">
              <w:rPr>
                <w:color w:val="000000" w:themeColor="text1"/>
                <w:sz w:val="28"/>
                <w:szCs w:val="28"/>
                <w:vertAlign w:val="subscript"/>
              </w:rPr>
              <w:t>l</w:t>
            </w:r>
            <w:r w:rsidR="001C390C">
              <w:rPr>
                <w:color w:val="000000" w:themeColor="text1"/>
                <w:sz w:val="28"/>
                <w:szCs w:val="28"/>
                <w:vertAlign w:val="subscript"/>
              </w:rPr>
              <w:t xml:space="preserve">a </w:t>
            </w:r>
            <w:r w:rsidR="001A288B">
              <w:rPr>
                <w:color w:val="000000" w:themeColor="text1"/>
                <w:sz w:val="28"/>
                <w:szCs w:val="28"/>
                <w:vertAlign w:val="subscript"/>
              </w:rPr>
              <w:t>coamă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1A288B">
              <w:rPr>
                <w:color w:val="000000" w:themeColor="text1"/>
                <w:sz w:val="28"/>
                <w:szCs w:val="28"/>
              </w:rPr>
              <w:t>9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.</w:t>
            </w:r>
            <w:r w:rsidR="001A288B">
              <w:rPr>
                <w:color w:val="000000" w:themeColor="text1"/>
                <w:sz w:val="28"/>
                <w:szCs w:val="28"/>
              </w:rPr>
              <w:t>5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0m</w:t>
            </w:r>
            <w:bookmarkEnd w:id="17"/>
          </w:p>
          <w:p w14:paraId="691AAF8E" w14:textId="5215415C" w:rsidR="001C390C" w:rsidRPr="00D514C2" w:rsidRDefault="001C390C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1A288B">
              <w:rPr>
                <w:color w:val="000000" w:themeColor="text1"/>
                <w:sz w:val="28"/>
                <w:szCs w:val="28"/>
                <w:vertAlign w:val="subscript"/>
              </w:rPr>
              <w:t xml:space="preserve">admis </w:t>
            </w:r>
            <w:r w:rsidR="001A288B" w:rsidRPr="001A288B">
              <w:rPr>
                <w:color w:val="000000" w:themeColor="text1"/>
                <w:sz w:val="28"/>
                <w:szCs w:val="28"/>
                <w:vertAlign w:val="subscript"/>
              </w:rPr>
              <w:t>la streașină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1A288B">
              <w:rPr>
                <w:color w:val="000000" w:themeColor="text1"/>
                <w:sz w:val="28"/>
                <w:szCs w:val="28"/>
              </w:rPr>
              <w:t>7</w:t>
            </w:r>
            <w:r w:rsidRPr="00D514C2">
              <w:rPr>
                <w:color w:val="000000" w:themeColor="text1"/>
                <w:sz w:val="28"/>
                <w:szCs w:val="28"/>
              </w:rPr>
              <w:t>.</w:t>
            </w:r>
            <w:r w:rsidR="001A288B">
              <w:rPr>
                <w:color w:val="000000" w:themeColor="text1"/>
                <w:sz w:val="28"/>
                <w:szCs w:val="28"/>
              </w:rPr>
              <w:t>5</w:t>
            </w:r>
            <w:r w:rsidRPr="00D514C2">
              <w:rPr>
                <w:color w:val="000000" w:themeColor="text1"/>
                <w:sz w:val="28"/>
                <w:szCs w:val="28"/>
              </w:rPr>
              <w:t>0m</w:t>
            </w:r>
            <w:bookmarkEnd w:id="18"/>
          </w:p>
        </w:tc>
      </w:tr>
      <w:tr w:rsidR="00FD62BE" w:rsidRPr="00D514C2" w14:paraId="18B56BF5" w14:textId="77777777" w:rsidTr="001B669C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9308EC8" w14:textId="17ED4B6C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66E27528" w14:textId="14A4DDB1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/>
              </w:rPr>
              <w:t>: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A2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35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1B669C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C4A7058" w14:textId="057326F6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4EC4E4BE" w14:textId="1D6127E8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.: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A28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FD62BE" w:rsidRPr="00D514C2" w14:paraId="3DE8DF64" w14:textId="77777777" w:rsidTr="001B669C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3260" w:type="dxa"/>
            <w:shd w:val="clear" w:color="auto" w:fill="auto"/>
          </w:tcPr>
          <w:p w14:paraId="79527F4D" w14:textId="2DAA4BBD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E989068" w14:textId="38E3F65C" w:rsidR="00E8161F" w:rsidRPr="00D514C2" w:rsidRDefault="001027E7" w:rsidP="008E5C6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9" w:name="_Hlk152927190"/>
            <w:bookmarkStart w:id="20" w:name="_Hlk190254257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E8161F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B0003">
              <w:t xml:space="preserve"> 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8E5C6F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8E5C6F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2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Reglementări urbanistice – Zonificar</w:t>
            </w:r>
            <w:r w:rsidR="008E5C6F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e+Concept propus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B1BA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BA67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r w:rsidR="006B3485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PUZ-ului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 w:rsidR="00FB0003">
              <w:t xml:space="preserve"> </w:t>
            </w:r>
            <w:r w:rsidR="008E5C6F" w:rsidRPr="008E5C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Retragerea clădirilor față de limita de proprietate față de strada nou propusă va fi de min. 3.00m, respectând profilul </w:t>
            </w:r>
            <w:r w:rsidR="008E5C6F" w:rsidRPr="008E5C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 xml:space="preserve">stradal cu dimensiunea de 11.00m, excepție având loturile </w:t>
            </w:r>
            <w:r w:rsidR="008E5C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8E5C6F" w:rsidRPr="008E5C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, </w:t>
            </w:r>
            <w:r w:rsidR="008E5C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4 și parțial</w:t>
            </w:r>
            <w:r w:rsidR="008E5C6F" w:rsidRPr="008E5C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8E5C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2</w:t>
            </w:r>
            <w:r w:rsidR="008E5C6F" w:rsidRPr="008E5C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5 unde retragerea va fi de min. 1.00m pentru realizarea gabaritului necesar întoarcerii vehiculelor</w:t>
            </w:r>
            <w:bookmarkEnd w:id="19"/>
            <w:r w:rsidR="001902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0"/>
          </w:p>
        </w:tc>
      </w:tr>
      <w:tr w:rsidR="00FD62BE" w:rsidRPr="00D514C2" w14:paraId="27A2A6C7" w14:textId="77777777" w:rsidTr="001B669C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76859608"/>
            <w:bookmarkStart w:id="22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  <w:bookmarkEnd w:id="21"/>
          </w:p>
        </w:tc>
        <w:tc>
          <w:tcPr>
            <w:tcW w:w="3260" w:type="dxa"/>
            <w:shd w:val="clear" w:color="auto" w:fill="auto"/>
          </w:tcPr>
          <w:p w14:paraId="7E4EA539" w14:textId="7928571E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08828D78" w14:textId="495D3E6D" w:rsidR="00844472" w:rsidRDefault="00FA356A" w:rsidP="008E5C6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3" w:name="_Hlk19025430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respectarea Codului Civil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planșei cu </w:t>
            </w:r>
            <w:r w:rsidR="004E1C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392905" w:rsidRPr="0039290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U</w:t>
            </w:r>
            <w:r w:rsidR="008E5C6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92905" w:rsidRPr="0039290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0</w:t>
            </w:r>
            <w:r w:rsidR="008E5C6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="00392905" w:rsidRPr="0039290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Reglementări urbanistice – Zonificare</w:t>
            </w:r>
            <w:r w:rsidR="008E5C6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+Concept propus</w:t>
            </w:r>
            <w:r w:rsidR="0039290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8E5C6F">
              <w:t xml:space="preserve"> </w:t>
            </w:r>
            <w:r w:rsidR="008E5C6F" w:rsidRPr="008E5C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Retragerea față de limita sudică a lotului 1 și 6 va fi de min. 2.00m, Retragerea zonei construibile față de limitele laterale ale loturilor noi propuse va fi de min. 0.60m și vor respecta Codul Civil cu privire la distanțele minime între construcții</w:t>
            </w:r>
            <w:bookmarkStart w:id="24" w:name="_Hlk176859617"/>
            <w:r w:rsidR="008E5C6F" w:rsidRPr="008E5C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4"/>
          </w:p>
          <w:p w14:paraId="7982BD3C" w14:textId="35AAB3EF" w:rsidR="008E5C6F" w:rsidRPr="00D514C2" w:rsidRDefault="008E5C6F" w:rsidP="008E5C6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Retragerea limitei construibile față de limitele posterioare ale noilor imobile va fi de min. 2.00.</w:t>
            </w:r>
            <w:bookmarkEnd w:id="23"/>
          </w:p>
        </w:tc>
      </w:tr>
      <w:tr w:rsidR="00FD62BE" w:rsidRPr="00D514C2" w14:paraId="5E271A07" w14:textId="77777777" w:rsidTr="001B669C">
        <w:trPr>
          <w:trHeight w:val="1184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5" w:name="_Hlk190254387"/>
            <w:bookmarkEnd w:id="22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260" w:type="dxa"/>
            <w:shd w:val="clear" w:color="auto" w:fill="auto"/>
          </w:tcPr>
          <w:p w14:paraId="042716C9" w14:textId="70C5B22F" w:rsidR="00757AA4" w:rsidRPr="00D514C2" w:rsidRDefault="00757AA4" w:rsidP="00176B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551D1E9D" w14:textId="77777777" w:rsidR="00D718D9" w:rsidRDefault="008E5C6F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6" w:name="_Hlk176859646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Accesul la loturile rezultate se va face de pe strada nou propusă – cu profil prevăzut de 11.00m (Lot 7). Strada nou propusă pentru deservirea zonei preia circulația pentru deservirea imobilelor propuse din zonă și o dirijează spre drumul existent</w:t>
            </w:r>
            <w:r w:rsidR="00D718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latura sudică – str. Eugen Seleș.</w:t>
            </w:r>
          </w:p>
          <w:p w14:paraId="6AA1D9A2" w14:textId="6A92EA9D" w:rsidR="004E1C88" w:rsidRPr="00D514C2" w:rsidRDefault="00D718D9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Traseul străzii propuse se desfășoară din direcția sud spre nord și s-a prevăzut cu lățimea părții carosabile de 7.00m, delimitat de borduri de 20 cm lățime, s-au prevăzut trotuare de 1.00m lățime și asigurând amplasamentul stâlpilor pentru iluminatul public, se va amenaja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spațiu verde de 1.60m lățime întreruptă de accesele carosabile la imobile, conform planșei D</w:t>
            </w:r>
            <w:r w:rsidR="00F751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01 din proiectul cu nr. 337/2024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 </w:t>
            </w:r>
            <w:r w:rsidR="004E1C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Cheltuielile aferente </w:t>
            </w:r>
            <w:r w:rsidR="00D15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</w:t>
            </w:r>
            <w:r w:rsidR="004E1C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odernizării străzii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propuse</w:t>
            </w:r>
            <w:r w:rsidR="004E1C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vor fi suportate de către beneficiarii prezentului P.U.Z.</w:t>
            </w:r>
            <w:bookmarkEnd w:id="26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bookmarkEnd w:id="25"/>
      <w:tr w:rsidR="00FD62BE" w:rsidRPr="00D514C2" w14:paraId="6055212A" w14:textId="77777777" w:rsidTr="001B669C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260" w:type="dxa"/>
            <w:shd w:val="clear" w:color="auto" w:fill="auto"/>
          </w:tcPr>
          <w:p w14:paraId="3544BED2" w14:textId="579DF243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9594267" w14:textId="513042BA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7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8" w:name="_Hlk159234798"/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d</w:t>
            </w:r>
            <w:r w:rsidR="00F751F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Echipare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 w:rsidR="00596CD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 în zonă</w:t>
            </w:r>
            <w:r w:rsid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</w:t>
            </w:r>
            <w:r w:rsidR="00F36C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strada </w:t>
            </w:r>
            <w:r w:rsidR="00F751F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Eugen Seleș</w:t>
            </w:r>
            <w:r w:rsidR="00AB26C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extinderea rețelelor pe strada </w:t>
            </w:r>
            <w:r w:rsidR="00FD62B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7"/>
            <w:bookmarkEnd w:id="28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207955F5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751F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2294D48" w14:textId="4FC1628C" w:rsidR="0088342F" w:rsidRPr="00934E5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B32B73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9436F" w14:textId="77777777" w:rsidR="00EF21EA" w:rsidRDefault="00EF21EA" w:rsidP="00844472">
      <w:pPr>
        <w:spacing w:after="0" w:line="240" w:lineRule="auto"/>
      </w:pPr>
      <w:r>
        <w:separator/>
      </w:r>
    </w:p>
  </w:endnote>
  <w:endnote w:type="continuationSeparator" w:id="0">
    <w:p w14:paraId="2A39A4D6" w14:textId="77777777" w:rsidR="00EF21EA" w:rsidRDefault="00EF21EA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7B36" w14:textId="77777777" w:rsidR="00EF21EA" w:rsidRDefault="00EF21EA" w:rsidP="00844472">
      <w:pPr>
        <w:spacing w:after="0" w:line="240" w:lineRule="auto"/>
      </w:pPr>
      <w:r>
        <w:separator/>
      </w:r>
    </w:p>
  </w:footnote>
  <w:footnote w:type="continuationSeparator" w:id="0">
    <w:p w14:paraId="24A9E5F2" w14:textId="77777777" w:rsidR="00EF21EA" w:rsidRDefault="00EF21EA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3BAE7A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58E2"/>
    <w:rsid w:val="00011349"/>
    <w:rsid w:val="000236B8"/>
    <w:rsid w:val="0005333F"/>
    <w:rsid w:val="0005505B"/>
    <w:rsid w:val="0006202F"/>
    <w:rsid w:val="00072C79"/>
    <w:rsid w:val="00083982"/>
    <w:rsid w:val="00096BA5"/>
    <w:rsid w:val="000A5789"/>
    <w:rsid w:val="000A7403"/>
    <w:rsid w:val="000B5B56"/>
    <w:rsid w:val="000C11A8"/>
    <w:rsid w:val="000D4BA8"/>
    <w:rsid w:val="000E146C"/>
    <w:rsid w:val="000E2D67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76B2F"/>
    <w:rsid w:val="00180275"/>
    <w:rsid w:val="0019020C"/>
    <w:rsid w:val="001A288B"/>
    <w:rsid w:val="001B669C"/>
    <w:rsid w:val="001C377B"/>
    <w:rsid w:val="001C390C"/>
    <w:rsid w:val="001D2A75"/>
    <w:rsid w:val="001E1AA9"/>
    <w:rsid w:val="001E4CB0"/>
    <w:rsid w:val="001E4FF3"/>
    <w:rsid w:val="00203748"/>
    <w:rsid w:val="00216EDF"/>
    <w:rsid w:val="00225317"/>
    <w:rsid w:val="00225489"/>
    <w:rsid w:val="00225B39"/>
    <w:rsid w:val="0023424F"/>
    <w:rsid w:val="0024263F"/>
    <w:rsid w:val="002633C7"/>
    <w:rsid w:val="0026677B"/>
    <w:rsid w:val="00272F71"/>
    <w:rsid w:val="00275004"/>
    <w:rsid w:val="00294E04"/>
    <w:rsid w:val="002A051D"/>
    <w:rsid w:val="002B0DD8"/>
    <w:rsid w:val="002C24EA"/>
    <w:rsid w:val="002C2564"/>
    <w:rsid w:val="002C576B"/>
    <w:rsid w:val="002D454C"/>
    <w:rsid w:val="002F085E"/>
    <w:rsid w:val="002F0F2B"/>
    <w:rsid w:val="002F17FB"/>
    <w:rsid w:val="00330B6F"/>
    <w:rsid w:val="0033596C"/>
    <w:rsid w:val="00337B9C"/>
    <w:rsid w:val="00341097"/>
    <w:rsid w:val="00342E30"/>
    <w:rsid w:val="003872EC"/>
    <w:rsid w:val="00392905"/>
    <w:rsid w:val="003B7F5E"/>
    <w:rsid w:val="003D0FE5"/>
    <w:rsid w:val="003D2374"/>
    <w:rsid w:val="003D2BFE"/>
    <w:rsid w:val="00417B28"/>
    <w:rsid w:val="00426216"/>
    <w:rsid w:val="00434C6E"/>
    <w:rsid w:val="0044213A"/>
    <w:rsid w:val="004426E8"/>
    <w:rsid w:val="00471B1A"/>
    <w:rsid w:val="00472F29"/>
    <w:rsid w:val="004839A8"/>
    <w:rsid w:val="00486E0D"/>
    <w:rsid w:val="00497D23"/>
    <w:rsid w:val="004B1BAC"/>
    <w:rsid w:val="004B28CE"/>
    <w:rsid w:val="004B394E"/>
    <w:rsid w:val="004C11E5"/>
    <w:rsid w:val="004C70ED"/>
    <w:rsid w:val="004E1C88"/>
    <w:rsid w:val="004E6407"/>
    <w:rsid w:val="004E7AD2"/>
    <w:rsid w:val="004F694A"/>
    <w:rsid w:val="00514FAC"/>
    <w:rsid w:val="00520DE8"/>
    <w:rsid w:val="00527490"/>
    <w:rsid w:val="00530569"/>
    <w:rsid w:val="00535A5B"/>
    <w:rsid w:val="00582E21"/>
    <w:rsid w:val="00596CD6"/>
    <w:rsid w:val="005A1491"/>
    <w:rsid w:val="005A58D9"/>
    <w:rsid w:val="005A64E0"/>
    <w:rsid w:val="005C1A86"/>
    <w:rsid w:val="005D46EB"/>
    <w:rsid w:val="005F189E"/>
    <w:rsid w:val="00606C31"/>
    <w:rsid w:val="006207A1"/>
    <w:rsid w:val="00632CCA"/>
    <w:rsid w:val="006417DA"/>
    <w:rsid w:val="006449AC"/>
    <w:rsid w:val="00652D00"/>
    <w:rsid w:val="00653B89"/>
    <w:rsid w:val="006622FA"/>
    <w:rsid w:val="00664563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7981"/>
    <w:rsid w:val="00706F2E"/>
    <w:rsid w:val="00707ECD"/>
    <w:rsid w:val="00722F5C"/>
    <w:rsid w:val="007272BA"/>
    <w:rsid w:val="007451F0"/>
    <w:rsid w:val="00757AA4"/>
    <w:rsid w:val="00775B92"/>
    <w:rsid w:val="0078022F"/>
    <w:rsid w:val="007A2DEF"/>
    <w:rsid w:val="007B77D5"/>
    <w:rsid w:val="007C2326"/>
    <w:rsid w:val="007C3A03"/>
    <w:rsid w:val="007C5ABA"/>
    <w:rsid w:val="00802F43"/>
    <w:rsid w:val="0080354E"/>
    <w:rsid w:val="008163B0"/>
    <w:rsid w:val="008208C1"/>
    <w:rsid w:val="00831214"/>
    <w:rsid w:val="00831D2D"/>
    <w:rsid w:val="00837A3A"/>
    <w:rsid w:val="00844472"/>
    <w:rsid w:val="00854428"/>
    <w:rsid w:val="00857931"/>
    <w:rsid w:val="00862804"/>
    <w:rsid w:val="00867B71"/>
    <w:rsid w:val="0088342F"/>
    <w:rsid w:val="00894672"/>
    <w:rsid w:val="00897410"/>
    <w:rsid w:val="008E44CC"/>
    <w:rsid w:val="008E5C6F"/>
    <w:rsid w:val="008E5FA5"/>
    <w:rsid w:val="008F3148"/>
    <w:rsid w:val="00903255"/>
    <w:rsid w:val="00905655"/>
    <w:rsid w:val="00910FFD"/>
    <w:rsid w:val="00914C86"/>
    <w:rsid w:val="00932B22"/>
    <w:rsid w:val="00934E52"/>
    <w:rsid w:val="00937C15"/>
    <w:rsid w:val="00942357"/>
    <w:rsid w:val="009546E1"/>
    <w:rsid w:val="00957CE8"/>
    <w:rsid w:val="009648DE"/>
    <w:rsid w:val="00976331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9F60C9"/>
    <w:rsid w:val="00A04862"/>
    <w:rsid w:val="00A1355F"/>
    <w:rsid w:val="00A50151"/>
    <w:rsid w:val="00A52F2D"/>
    <w:rsid w:val="00A56CEE"/>
    <w:rsid w:val="00A611E2"/>
    <w:rsid w:val="00A85ACC"/>
    <w:rsid w:val="00AA2AEC"/>
    <w:rsid w:val="00AB26C9"/>
    <w:rsid w:val="00AC044A"/>
    <w:rsid w:val="00AC79EA"/>
    <w:rsid w:val="00AF4F28"/>
    <w:rsid w:val="00B00C41"/>
    <w:rsid w:val="00B32B73"/>
    <w:rsid w:val="00B34BE2"/>
    <w:rsid w:val="00B451CE"/>
    <w:rsid w:val="00B527A1"/>
    <w:rsid w:val="00B5378B"/>
    <w:rsid w:val="00B5502E"/>
    <w:rsid w:val="00B604DF"/>
    <w:rsid w:val="00B81B99"/>
    <w:rsid w:val="00B91B33"/>
    <w:rsid w:val="00B965D6"/>
    <w:rsid w:val="00BA67A4"/>
    <w:rsid w:val="00BC5A4F"/>
    <w:rsid w:val="00BD221A"/>
    <w:rsid w:val="00BD6EA3"/>
    <w:rsid w:val="00C07E1E"/>
    <w:rsid w:val="00C1436C"/>
    <w:rsid w:val="00C14862"/>
    <w:rsid w:val="00C337CF"/>
    <w:rsid w:val="00C57A8D"/>
    <w:rsid w:val="00C6786B"/>
    <w:rsid w:val="00C82CE0"/>
    <w:rsid w:val="00C9185B"/>
    <w:rsid w:val="00CB0631"/>
    <w:rsid w:val="00CB4CD6"/>
    <w:rsid w:val="00CC59E9"/>
    <w:rsid w:val="00CE453F"/>
    <w:rsid w:val="00D14CCE"/>
    <w:rsid w:val="00D15F2E"/>
    <w:rsid w:val="00D16D6F"/>
    <w:rsid w:val="00D1713C"/>
    <w:rsid w:val="00D34506"/>
    <w:rsid w:val="00D46613"/>
    <w:rsid w:val="00D47A51"/>
    <w:rsid w:val="00D513FF"/>
    <w:rsid w:val="00D514C2"/>
    <w:rsid w:val="00D57A9D"/>
    <w:rsid w:val="00D65719"/>
    <w:rsid w:val="00D6609A"/>
    <w:rsid w:val="00D718D9"/>
    <w:rsid w:val="00D72A60"/>
    <w:rsid w:val="00D92885"/>
    <w:rsid w:val="00DA15CB"/>
    <w:rsid w:val="00DA34B8"/>
    <w:rsid w:val="00DC6275"/>
    <w:rsid w:val="00DC7783"/>
    <w:rsid w:val="00DC79A9"/>
    <w:rsid w:val="00DD1996"/>
    <w:rsid w:val="00DD5711"/>
    <w:rsid w:val="00DF0B25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5649"/>
    <w:rsid w:val="00EE7758"/>
    <w:rsid w:val="00EF21EA"/>
    <w:rsid w:val="00F079B5"/>
    <w:rsid w:val="00F33F32"/>
    <w:rsid w:val="00F36C96"/>
    <w:rsid w:val="00F6582A"/>
    <w:rsid w:val="00F751F6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59</cp:revision>
  <cp:lastPrinted>2025-02-12T12:07:00Z</cp:lastPrinted>
  <dcterms:created xsi:type="dcterms:W3CDTF">2022-09-26T07:07:00Z</dcterms:created>
  <dcterms:modified xsi:type="dcterms:W3CDTF">2025-02-12T12:07:00Z</dcterms:modified>
</cp:coreProperties>
</file>